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right"/>
        <w:rPr>
          <w:rFonts w:hint="eastAsia" w:ascii="宋体" w:hAnsi="宋体" w:eastAsia="宋体" w:cs="宋体"/>
          <w:bCs/>
          <w:color w:val="0000FF"/>
          <w:kern w:val="0"/>
          <w:sz w:val="28"/>
          <w:szCs w:val="28"/>
          <w:highlight w:val="none"/>
        </w:rPr>
      </w:pPr>
    </w:p>
    <w:p>
      <w:pPr>
        <w:pStyle w:val="25"/>
        <w:rPr>
          <w:rFonts w:hint="eastAsia" w:ascii="宋体" w:hAnsi="宋体" w:eastAsia="宋体" w:cs="宋体"/>
          <w:color w:val="0000FF"/>
        </w:rPr>
      </w:pPr>
    </w:p>
    <w:p>
      <w:pPr>
        <w:ind w:right="560"/>
        <w:rPr>
          <w:rFonts w:hint="eastAsia" w:ascii="宋体" w:hAnsi="宋体" w:eastAsia="宋体" w:cs="宋体"/>
          <w:bCs/>
          <w:color w:val="0000FF"/>
          <w:kern w:val="0"/>
          <w:sz w:val="28"/>
          <w:szCs w:val="28"/>
          <w:highlight w:val="none"/>
        </w:rPr>
      </w:pPr>
    </w:p>
    <w:p>
      <w:pPr>
        <w:ind w:right="560"/>
        <w:rPr>
          <w:rFonts w:hint="eastAsia" w:ascii="宋体" w:hAnsi="宋体" w:eastAsia="宋体" w:cs="宋体"/>
          <w:bCs/>
          <w:color w:val="0000FF"/>
          <w:kern w:val="0"/>
          <w:sz w:val="28"/>
          <w:szCs w:val="28"/>
          <w:highlight w:val="none"/>
        </w:rPr>
      </w:pPr>
    </w:p>
    <w:p>
      <w:pPr>
        <w:jc w:val="center"/>
        <w:rPr>
          <w:rFonts w:hint="eastAsia" w:ascii="宋体" w:hAnsi="宋体" w:eastAsia="宋体" w:cs="宋体"/>
          <w:bCs/>
          <w:color w:val="auto"/>
          <w:kern w:val="0"/>
          <w:sz w:val="32"/>
          <w:szCs w:val="32"/>
          <w:highlight w:val="none"/>
        </w:rPr>
      </w:pPr>
    </w:p>
    <w:p>
      <w:pPr>
        <w:jc w:val="center"/>
        <w:rPr>
          <w:rFonts w:hint="eastAsia" w:ascii="宋体" w:hAnsi="宋体" w:eastAsia="宋体" w:cs="宋体"/>
          <w:b/>
          <w:bCs/>
          <w:color w:val="auto"/>
          <w:kern w:val="0"/>
          <w:sz w:val="36"/>
          <w:szCs w:val="36"/>
          <w:highlight w:val="none"/>
        </w:rPr>
      </w:pPr>
      <w:r>
        <w:rPr>
          <w:rFonts w:hint="eastAsia" w:ascii="宋体" w:hAnsi="宋体" w:eastAsia="宋体" w:cs="宋体"/>
          <w:b/>
          <w:bCs/>
          <w:color w:val="auto"/>
          <w:kern w:val="0"/>
          <w:sz w:val="36"/>
          <w:szCs w:val="36"/>
          <w:highlight w:val="none"/>
        </w:rPr>
        <w:t>核技术利用建设项目</w:t>
      </w:r>
    </w:p>
    <w:p>
      <w:pPr>
        <w:jc w:val="center"/>
        <w:rPr>
          <w:rFonts w:hint="eastAsia" w:ascii="宋体" w:hAnsi="宋体" w:eastAsia="宋体" w:cs="宋体"/>
          <w:b/>
          <w:bCs/>
          <w:color w:val="auto"/>
          <w:kern w:val="0"/>
          <w:sz w:val="36"/>
          <w:szCs w:val="36"/>
          <w:highlight w:val="none"/>
        </w:rPr>
      </w:pPr>
    </w:p>
    <w:p>
      <w:pPr>
        <w:spacing w:line="720" w:lineRule="auto"/>
        <w:jc w:val="center"/>
        <w:rPr>
          <w:rFonts w:hint="eastAsia" w:ascii="宋体" w:hAnsi="宋体" w:eastAsia="宋体" w:cs="宋体"/>
          <w:b/>
          <w:color w:val="auto"/>
          <w:sz w:val="44"/>
          <w:szCs w:val="44"/>
          <w:highlight w:val="none"/>
        </w:rPr>
      </w:pPr>
      <w:r>
        <w:rPr>
          <w:rFonts w:hint="eastAsia" w:ascii="宋体" w:hAnsi="宋体" w:eastAsia="宋体" w:cs="宋体"/>
          <w:b/>
          <w:color w:val="auto"/>
          <w:sz w:val="44"/>
          <w:szCs w:val="44"/>
          <w:highlight w:val="none"/>
          <w:lang w:val="en-US" w:eastAsia="zh-CN"/>
        </w:rPr>
        <w:t xml:space="preserve">双矿医院新建直线加速器机房项目 </w:t>
      </w:r>
    </w:p>
    <w:p>
      <w:pPr>
        <w:spacing w:line="720" w:lineRule="auto"/>
        <w:jc w:val="center"/>
        <w:rPr>
          <w:rFonts w:hint="eastAsia" w:ascii="宋体" w:hAnsi="宋体" w:eastAsia="宋体" w:cs="宋体"/>
          <w:b/>
          <w:color w:val="auto"/>
          <w:sz w:val="44"/>
          <w:szCs w:val="44"/>
          <w:highlight w:val="none"/>
        </w:rPr>
      </w:pPr>
      <w:r>
        <w:rPr>
          <w:rFonts w:hint="eastAsia" w:ascii="宋体" w:hAnsi="宋体" w:eastAsia="宋体" w:cs="宋体"/>
          <w:b/>
          <w:color w:val="auto"/>
          <w:sz w:val="44"/>
          <w:szCs w:val="44"/>
          <w:highlight w:val="none"/>
        </w:rPr>
        <w:t>环境影响报告表</w:t>
      </w:r>
    </w:p>
    <w:p>
      <w:pPr>
        <w:spacing w:line="360" w:lineRule="auto"/>
        <w:ind w:left="1879" w:leftChars="608" w:hanging="602" w:hangingChars="200"/>
        <w:rPr>
          <w:rFonts w:hint="eastAsia" w:ascii="宋体" w:hAnsi="宋体" w:eastAsia="宋体" w:cs="宋体"/>
          <w:b/>
          <w:color w:val="auto"/>
          <w:sz w:val="30"/>
          <w:szCs w:val="30"/>
          <w:highlight w:val="none"/>
        </w:rPr>
      </w:pPr>
    </w:p>
    <w:p>
      <w:pPr>
        <w:spacing w:line="720" w:lineRule="auto"/>
        <w:ind w:left="2000" w:leftChars="608" w:hanging="723" w:hangingChars="200"/>
        <w:rPr>
          <w:rFonts w:hint="eastAsia" w:ascii="宋体" w:hAnsi="宋体" w:eastAsia="宋体" w:cs="宋体"/>
          <w:b/>
          <w:color w:val="auto"/>
          <w:sz w:val="36"/>
          <w:szCs w:val="36"/>
          <w:highlight w:val="none"/>
        </w:rPr>
      </w:pPr>
    </w:p>
    <w:p>
      <w:pPr>
        <w:pStyle w:val="12"/>
        <w:rPr>
          <w:rFonts w:hint="eastAsia" w:ascii="宋体" w:hAnsi="宋体" w:eastAsia="宋体" w:cs="宋体"/>
          <w:color w:val="auto"/>
          <w:highlight w:val="none"/>
        </w:rPr>
      </w:pPr>
    </w:p>
    <w:p>
      <w:pPr>
        <w:spacing w:line="720" w:lineRule="auto"/>
        <w:ind w:left="2000" w:leftChars="608" w:hanging="723" w:hangingChars="200"/>
        <w:rPr>
          <w:rFonts w:hint="eastAsia" w:ascii="宋体" w:hAnsi="宋体" w:eastAsia="宋体" w:cs="宋体"/>
          <w:b/>
          <w:color w:val="auto"/>
          <w:sz w:val="36"/>
          <w:szCs w:val="36"/>
          <w:highlight w:val="none"/>
        </w:rPr>
      </w:pPr>
    </w:p>
    <w:p>
      <w:pPr>
        <w:spacing w:line="720" w:lineRule="auto"/>
        <w:ind w:left="2000" w:leftChars="608" w:hanging="723" w:hangingChars="200"/>
        <w:rPr>
          <w:rFonts w:hint="eastAsia" w:ascii="宋体" w:hAnsi="宋体" w:eastAsia="宋体" w:cs="宋体"/>
          <w:b/>
          <w:color w:val="auto"/>
          <w:sz w:val="36"/>
          <w:szCs w:val="36"/>
          <w:highlight w:val="none"/>
          <w:lang w:val="en-US" w:eastAsia="zh-CN"/>
        </w:rPr>
      </w:pPr>
    </w:p>
    <w:p>
      <w:pPr>
        <w:spacing w:line="480" w:lineRule="auto"/>
        <w:rPr>
          <w:rFonts w:hint="eastAsia" w:ascii="宋体" w:hAnsi="宋体" w:eastAsia="宋体" w:cs="宋体"/>
          <w:b/>
          <w:color w:val="auto"/>
          <w:sz w:val="36"/>
          <w:szCs w:val="36"/>
          <w:highlight w:val="none"/>
        </w:rPr>
      </w:pPr>
    </w:p>
    <w:p>
      <w:pPr>
        <w:spacing w:line="480" w:lineRule="auto"/>
        <w:jc w:val="center"/>
        <w:rPr>
          <w:rFonts w:hint="eastAsia" w:ascii="宋体" w:hAnsi="宋体" w:eastAsia="宋体" w:cs="宋体"/>
          <w:b/>
          <w:color w:val="auto"/>
          <w:sz w:val="30"/>
          <w:szCs w:val="30"/>
          <w:highlight w:val="none"/>
          <w:lang w:val="en-US" w:eastAsia="zh-CN"/>
        </w:rPr>
      </w:pPr>
      <w:r>
        <w:rPr>
          <w:rFonts w:hint="eastAsia" w:ascii="宋体" w:hAnsi="宋体" w:eastAsia="宋体" w:cs="宋体"/>
          <w:b/>
          <w:color w:val="auto"/>
          <w:sz w:val="30"/>
          <w:szCs w:val="30"/>
          <w:highlight w:val="none"/>
          <w:lang w:val="en-US" w:eastAsia="zh-CN"/>
        </w:rPr>
        <w:t>双鸭山双矿医院有限公司</w:t>
      </w:r>
    </w:p>
    <w:p>
      <w:pPr>
        <w:spacing w:line="480" w:lineRule="auto"/>
        <w:ind w:left="1879" w:leftChars="608" w:hanging="602" w:hangingChars="200"/>
        <w:rPr>
          <w:rFonts w:hint="eastAsia" w:ascii="宋体" w:hAnsi="宋体" w:eastAsia="宋体" w:cs="宋体"/>
          <w:b/>
          <w:color w:val="auto"/>
          <w:sz w:val="36"/>
          <w:szCs w:val="36"/>
          <w:highlight w:val="none"/>
        </w:rPr>
      </w:pPr>
      <w:r>
        <w:rPr>
          <w:rFonts w:hint="eastAsia" w:ascii="宋体" w:hAnsi="宋体" w:eastAsia="宋体" w:cs="宋体"/>
          <w:b/>
          <w:color w:val="auto"/>
          <w:sz w:val="30"/>
          <w:szCs w:val="30"/>
          <w:highlight w:val="none"/>
        </w:rPr>
        <w:t xml:space="preserve">            202</w:t>
      </w:r>
      <w:r>
        <w:rPr>
          <w:rFonts w:hint="eastAsia" w:ascii="宋体" w:hAnsi="宋体" w:eastAsia="宋体" w:cs="宋体"/>
          <w:b/>
          <w:color w:val="auto"/>
          <w:sz w:val="30"/>
          <w:szCs w:val="30"/>
          <w:highlight w:val="none"/>
          <w:lang w:val="en-US" w:eastAsia="zh-CN"/>
        </w:rPr>
        <w:t>3</w:t>
      </w:r>
      <w:r>
        <w:rPr>
          <w:rFonts w:hint="eastAsia" w:ascii="宋体" w:hAnsi="宋体" w:eastAsia="宋体" w:cs="宋体"/>
          <w:b/>
          <w:color w:val="auto"/>
          <w:sz w:val="30"/>
          <w:szCs w:val="30"/>
          <w:highlight w:val="none"/>
        </w:rPr>
        <w:t>年</w:t>
      </w:r>
      <w:r>
        <w:rPr>
          <w:rFonts w:hint="eastAsia" w:ascii="宋体" w:hAnsi="宋体" w:eastAsia="宋体" w:cs="宋体"/>
          <w:b/>
          <w:color w:val="auto"/>
          <w:sz w:val="30"/>
          <w:szCs w:val="30"/>
          <w:highlight w:val="none"/>
          <w:lang w:val="en-US" w:eastAsia="zh-CN"/>
        </w:rPr>
        <w:t>11</w:t>
      </w:r>
      <w:r>
        <w:rPr>
          <w:rFonts w:hint="eastAsia" w:ascii="宋体" w:hAnsi="宋体" w:eastAsia="宋体" w:cs="宋体"/>
          <w:b/>
          <w:color w:val="auto"/>
          <w:sz w:val="30"/>
          <w:szCs w:val="30"/>
          <w:highlight w:val="none"/>
        </w:rPr>
        <w:t>月</w:t>
      </w:r>
      <w:r>
        <w:rPr>
          <w:rFonts w:hint="eastAsia" w:ascii="宋体" w:hAnsi="宋体" w:eastAsia="宋体" w:cs="宋体"/>
          <w:b/>
          <w:color w:val="auto"/>
          <w:sz w:val="30"/>
          <w:szCs w:val="30"/>
          <w:highlight w:val="none"/>
        </w:rPr>
        <w:br w:type="page"/>
      </w:r>
    </w:p>
    <w:p>
      <w:pPr>
        <w:pStyle w:val="12"/>
        <w:tabs>
          <w:tab w:val="right" w:leader="dot" w:pos="8296"/>
        </w:tabs>
        <w:spacing w:line="360" w:lineRule="auto"/>
        <w:jc w:val="center"/>
        <w:rPr>
          <w:rFonts w:hint="eastAsia" w:ascii="宋体" w:hAnsi="宋体" w:eastAsia="宋体" w:cs="宋体"/>
          <w:color w:val="0000FF"/>
        </w:rPr>
      </w:pPr>
      <w:r>
        <w:rPr>
          <w:rFonts w:hint="eastAsia" w:ascii="宋体" w:hAnsi="宋体" w:eastAsia="宋体" w:cs="宋体"/>
          <w:color w:val="auto"/>
        </w:rPr>
        <w:drawing>
          <wp:inline distT="0" distB="0" distL="114300" distR="114300">
            <wp:extent cx="5269230" cy="7165975"/>
            <wp:effectExtent l="0" t="0" r="7620" b="15875"/>
            <wp:docPr id="10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48"/>
                    <pic:cNvPicPr>
                      <a:picLocks noChangeAspect="1"/>
                    </pic:cNvPicPr>
                  </pic:nvPicPr>
                  <pic:blipFill>
                    <a:blip r:embed="rId10"/>
                    <a:stretch>
                      <a:fillRect/>
                    </a:stretch>
                  </pic:blipFill>
                  <pic:spPr>
                    <a:xfrm>
                      <a:off x="0" y="0"/>
                      <a:ext cx="5269230" cy="7165975"/>
                    </a:xfrm>
                    <a:prstGeom prst="rect">
                      <a:avLst/>
                    </a:prstGeom>
                    <a:noFill/>
                    <a:ln>
                      <a:noFill/>
                    </a:ln>
                  </pic:spPr>
                </pic:pic>
              </a:graphicData>
            </a:graphic>
          </wp:inline>
        </w:drawing>
      </w:r>
    </w:p>
    <w:p>
      <w:pPr>
        <w:rPr>
          <w:rFonts w:hint="eastAsia" w:ascii="宋体" w:hAnsi="宋体" w:eastAsia="宋体" w:cs="宋体"/>
          <w:color w:val="0000FF"/>
        </w:rPr>
      </w:pPr>
      <w:r>
        <w:rPr>
          <w:rFonts w:hint="eastAsia" w:ascii="宋体" w:hAnsi="宋体" w:eastAsia="宋体" w:cs="宋体"/>
          <w:color w:val="0000FF"/>
        </w:rPr>
        <w:br w:type="page"/>
      </w:r>
    </w:p>
    <w:p>
      <w:pPr>
        <w:pStyle w:val="12"/>
        <w:tabs>
          <w:tab w:val="right" w:leader="dot" w:pos="8296"/>
        </w:tabs>
        <w:spacing w:line="360" w:lineRule="auto"/>
        <w:jc w:val="center"/>
        <w:rPr>
          <w:rFonts w:hint="eastAsia" w:ascii="宋体" w:hAnsi="宋体" w:eastAsia="宋体" w:cs="宋体"/>
          <w:b/>
          <w:color w:val="auto"/>
          <w:sz w:val="36"/>
          <w:szCs w:val="36"/>
          <w:highlight w:val="none"/>
        </w:rPr>
      </w:pPr>
      <w:r>
        <w:rPr>
          <w:rFonts w:hint="eastAsia" w:ascii="宋体" w:hAnsi="宋体" w:eastAsia="宋体" w:cs="宋体"/>
          <w:b/>
          <w:color w:val="auto"/>
          <w:sz w:val="36"/>
          <w:szCs w:val="36"/>
          <w:highlight w:val="none"/>
        </w:rPr>
        <w:t>目  录</w:t>
      </w:r>
    </w:p>
    <w:p>
      <w:pPr>
        <w:pStyle w:val="12"/>
        <w:tabs>
          <w:tab w:val="right" w:leader="dot" w:pos="8306"/>
        </w:tabs>
        <w:spacing w:line="360" w:lineRule="auto"/>
        <w:rPr>
          <w:rFonts w:hint="eastAsia" w:ascii="宋体" w:hAnsi="宋体" w:eastAsia="宋体" w:cs="宋体"/>
          <w:color w:val="auto"/>
          <w:sz w:val="24"/>
          <w:szCs w:val="24"/>
          <w:highlight w:val="none"/>
        </w:rPr>
      </w:pPr>
      <w:r>
        <w:rPr>
          <w:rFonts w:hint="eastAsia" w:ascii="宋体" w:hAnsi="宋体" w:eastAsia="宋体" w:cs="宋体"/>
          <w:b/>
          <w:color w:val="auto"/>
          <w:sz w:val="24"/>
          <w:szCs w:val="24"/>
          <w:highlight w:val="none"/>
        </w:rPr>
        <w:fldChar w:fldCharType="begin"/>
      </w:r>
      <w:r>
        <w:rPr>
          <w:rFonts w:hint="eastAsia" w:ascii="宋体" w:hAnsi="宋体" w:eastAsia="宋体" w:cs="宋体"/>
          <w:b/>
          <w:color w:val="auto"/>
          <w:sz w:val="24"/>
          <w:szCs w:val="24"/>
          <w:highlight w:val="none"/>
        </w:rPr>
        <w:instrText xml:space="preserve">TOC \o "1-1" \h \z \u</w:instrText>
      </w:r>
      <w:r>
        <w:rPr>
          <w:rFonts w:hint="eastAsia" w:ascii="宋体" w:hAnsi="宋体" w:eastAsia="宋体" w:cs="宋体"/>
          <w:b/>
          <w:color w:val="auto"/>
          <w:sz w:val="24"/>
          <w:szCs w:val="24"/>
          <w:highlight w:val="none"/>
        </w:rPr>
        <w:fldChar w:fldCharType="separate"/>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_Toc7589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表1 项目基本情况</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PAGEREF _Toc7589 \h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1</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fldChar w:fldCharType="end"/>
      </w:r>
    </w:p>
    <w:p>
      <w:pPr>
        <w:pStyle w:val="12"/>
        <w:tabs>
          <w:tab w:val="right" w:leader="dot" w:pos="8306"/>
        </w:tabs>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_Toc21604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表2 放射源</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PAGEREF _Toc21604 \h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10</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fldChar w:fldCharType="end"/>
      </w:r>
    </w:p>
    <w:p>
      <w:pPr>
        <w:pStyle w:val="12"/>
        <w:tabs>
          <w:tab w:val="right" w:leader="dot" w:pos="8306"/>
        </w:tabs>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_Toc27639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表3 非密封放射性物质</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PAGEREF _Toc27639 \h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10</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fldChar w:fldCharType="end"/>
      </w:r>
    </w:p>
    <w:p>
      <w:pPr>
        <w:pStyle w:val="12"/>
        <w:tabs>
          <w:tab w:val="right" w:leader="dot" w:pos="8306"/>
        </w:tabs>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_Toc21438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表4 射线装置</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PAGEREF _Toc21438 \h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11</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fldChar w:fldCharType="end"/>
      </w:r>
    </w:p>
    <w:p>
      <w:pPr>
        <w:pStyle w:val="12"/>
        <w:tabs>
          <w:tab w:val="right" w:leader="dot" w:pos="8306"/>
        </w:tabs>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_Toc11030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表5 废弃物（重点是放射性废弃物）</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PAGEREF _Toc11030 \h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12</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fldChar w:fldCharType="end"/>
      </w:r>
    </w:p>
    <w:p>
      <w:pPr>
        <w:pStyle w:val="12"/>
        <w:tabs>
          <w:tab w:val="right" w:leader="dot" w:pos="8306"/>
        </w:tabs>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_Toc27253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表6 评价依据</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PAGEREF _Toc27253 \h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13</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fldChar w:fldCharType="end"/>
      </w:r>
    </w:p>
    <w:p>
      <w:pPr>
        <w:pStyle w:val="12"/>
        <w:tabs>
          <w:tab w:val="right" w:leader="dot" w:pos="8306"/>
        </w:tabs>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_Toc18386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表7 保护目标与评价标准</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PAGEREF _Toc18386 \h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15</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fldChar w:fldCharType="end"/>
      </w:r>
    </w:p>
    <w:p>
      <w:pPr>
        <w:pStyle w:val="12"/>
        <w:tabs>
          <w:tab w:val="right" w:leader="dot" w:pos="8306"/>
        </w:tabs>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_Toc23100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表8 环境质量和辐射现状</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PAGEREF _Toc23100 \h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21</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fldChar w:fldCharType="end"/>
      </w:r>
    </w:p>
    <w:p>
      <w:pPr>
        <w:pStyle w:val="12"/>
        <w:tabs>
          <w:tab w:val="right" w:leader="dot" w:pos="8306"/>
        </w:tabs>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_Toc27819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表9 项目工程分析与源项</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PAGEREF _Toc27819 \h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25</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fldChar w:fldCharType="end"/>
      </w:r>
    </w:p>
    <w:p>
      <w:pPr>
        <w:pStyle w:val="12"/>
        <w:tabs>
          <w:tab w:val="right" w:leader="dot" w:pos="8306"/>
        </w:tabs>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_Toc15556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表10 辐射安全与防护</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PAGEREF _Toc15556 \h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30</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fldChar w:fldCharType="end"/>
      </w:r>
    </w:p>
    <w:p>
      <w:pPr>
        <w:pStyle w:val="12"/>
        <w:tabs>
          <w:tab w:val="right" w:leader="dot" w:pos="8306"/>
        </w:tabs>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_Toc18684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表11 环境影响分析</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PAGEREF _Toc18684 \h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37</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fldChar w:fldCharType="end"/>
      </w:r>
    </w:p>
    <w:p>
      <w:pPr>
        <w:pStyle w:val="12"/>
        <w:tabs>
          <w:tab w:val="right" w:leader="dot" w:pos="8306"/>
        </w:tabs>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_Toc14016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表12 辐射安全管理</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PAGEREF _Toc14016 \h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50</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fldChar w:fldCharType="end"/>
      </w:r>
    </w:p>
    <w:p>
      <w:pPr>
        <w:pStyle w:val="12"/>
        <w:tabs>
          <w:tab w:val="right" w:leader="dot" w:pos="8306"/>
        </w:tabs>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_Toc24160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表13 结论与建议</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PAGEREF _Toc24160 \h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53</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fldChar w:fldCharType="end"/>
      </w:r>
    </w:p>
    <w:p>
      <w:pPr>
        <w:pStyle w:val="12"/>
        <w:tabs>
          <w:tab w:val="right" w:leader="dot" w:pos="8306"/>
        </w:tabs>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_Toc23598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表14  审批</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PAGEREF _Toc23598 \h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55</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fldChar w:fldCharType="end"/>
      </w:r>
    </w:p>
    <w:p>
      <w:pPr>
        <w:pStyle w:val="12"/>
        <w:tabs>
          <w:tab w:val="right" w:leader="dot" w:pos="8306"/>
        </w:tabs>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_Toc28263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附件</w:t>
      </w: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rPr>
        <w:t xml:space="preserve"> </w:t>
      </w:r>
      <w:r>
        <w:rPr>
          <w:rFonts w:hint="eastAsia" w:ascii="宋体" w:hAnsi="宋体" w:eastAsia="宋体" w:cs="宋体"/>
          <w:color w:val="auto"/>
          <w:sz w:val="24"/>
          <w:szCs w:val="24"/>
          <w:highlight w:val="none"/>
          <w:lang w:val="en-US" w:eastAsia="zh-CN"/>
        </w:rPr>
        <w:t>辐射安全许可证</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PAGEREF _Toc28263 \h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56</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fldChar w:fldCharType="end"/>
      </w:r>
    </w:p>
    <w:p>
      <w:pPr>
        <w:pStyle w:val="12"/>
        <w:tabs>
          <w:tab w:val="right" w:leader="dot" w:pos="8306"/>
        </w:tabs>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_Toc13018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 xml:space="preserve">附件2 </w:t>
      </w:r>
      <w:r>
        <w:rPr>
          <w:rFonts w:hint="eastAsia" w:ascii="宋体" w:hAnsi="宋体" w:eastAsia="宋体" w:cs="宋体"/>
          <w:color w:val="auto"/>
          <w:sz w:val="24"/>
          <w:szCs w:val="24"/>
          <w:highlight w:val="none"/>
          <w:lang w:val="en-US" w:eastAsia="zh-CN"/>
        </w:rPr>
        <w:t>现状监测报告</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PAGEREF _Toc13018 \h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60</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fldChar w:fldCharType="end"/>
      </w:r>
    </w:p>
    <w:p>
      <w:pPr>
        <w:pStyle w:val="12"/>
        <w:tabs>
          <w:tab w:val="right" w:leader="dot" w:pos="8306"/>
        </w:tabs>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_Toc13966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附件</w:t>
      </w:r>
      <w:r>
        <w:rPr>
          <w:rFonts w:hint="eastAsia" w:ascii="宋体" w:hAnsi="宋体" w:eastAsia="宋体" w:cs="宋体"/>
          <w:color w:val="auto"/>
          <w:sz w:val="24"/>
          <w:szCs w:val="24"/>
          <w:highlight w:val="none"/>
          <w:lang w:val="en-US" w:eastAsia="zh-CN"/>
        </w:rPr>
        <w:t>3</w:t>
      </w:r>
      <w:r>
        <w:rPr>
          <w:rFonts w:hint="eastAsia" w:ascii="宋体" w:hAnsi="宋体" w:eastAsia="宋体" w:cs="宋体"/>
          <w:color w:val="auto"/>
          <w:sz w:val="24"/>
          <w:szCs w:val="24"/>
          <w:highlight w:val="none"/>
        </w:rPr>
        <w:t xml:space="preserve"> </w:t>
      </w:r>
      <w:r>
        <w:rPr>
          <w:rFonts w:hint="eastAsia" w:ascii="宋体" w:hAnsi="宋体" w:eastAsia="宋体" w:cs="宋体"/>
          <w:color w:val="auto"/>
          <w:sz w:val="24"/>
          <w:szCs w:val="24"/>
          <w:highlight w:val="none"/>
          <w:lang w:val="en-US" w:eastAsia="zh-CN"/>
        </w:rPr>
        <w:t>原有环保手续</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PAGEREF _Toc13966 \h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66</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fldChar w:fldCharType="end"/>
      </w:r>
    </w:p>
    <w:p>
      <w:pPr>
        <w:pStyle w:val="12"/>
        <w:tabs>
          <w:tab w:val="right" w:leader="dot" w:pos="8306"/>
        </w:tabs>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_Toc13966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附件</w:t>
      </w:r>
      <w:r>
        <w:rPr>
          <w:rFonts w:hint="eastAsia" w:ascii="宋体" w:hAnsi="宋体" w:eastAsia="宋体" w:cs="宋体"/>
          <w:color w:val="auto"/>
          <w:sz w:val="24"/>
          <w:szCs w:val="24"/>
          <w:highlight w:val="none"/>
          <w:lang w:val="en-US" w:eastAsia="zh-CN"/>
        </w:rPr>
        <w:t>4</w:t>
      </w:r>
      <w:r>
        <w:rPr>
          <w:rFonts w:hint="eastAsia" w:ascii="宋体" w:hAnsi="宋体" w:eastAsia="宋体" w:cs="宋体"/>
          <w:color w:val="auto"/>
          <w:sz w:val="24"/>
          <w:szCs w:val="24"/>
          <w:highlight w:val="none"/>
        </w:rPr>
        <w:t xml:space="preserve"> </w:t>
      </w:r>
      <w:r>
        <w:rPr>
          <w:rFonts w:hint="eastAsia" w:ascii="宋体" w:hAnsi="宋体" w:eastAsia="宋体" w:cs="宋体"/>
          <w:color w:val="auto"/>
          <w:sz w:val="24"/>
          <w:szCs w:val="24"/>
          <w:highlight w:val="none"/>
          <w:lang w:val="en-US" w:eastAsia="zh-CN"/>
        </w:rPr>
        <w:t>医院排污许可证</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PAGEREF _Toc13966 \h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66</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fldChar w:fldCharType="end"/>
      </w:r>
    </w:p>
    <w:p>
      <w:pPr>
        <w:pStyle w:val="12"/>
        <w:tabs>
          <w:tab w:val="right" w:leader="dot" w:pos="8306"/>
        </w:tabs>
        <w:spacing w:line="360" w:lineRule="auto"/>
        <w:rPr>
          <w:rFonts w:hint="eastAsia" w:ascii="宋体" w:hAnsi="宋体" w:eastAsia="宋体" w:cs="宋体"/>
          <w:color w:val="auto"/>
          <w:highlight w:val="none"/>
          <w:lang w:val="en-US" w:eastAsia="zh-CN"/>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_Toc13966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附件</w:t>
      </w:r>
      <w:r>
        <w:rPr>
          <w:rFonts w:hint="eastAsia" w:ascii="宋体" w:hAnsi="宋体" w:eastAsia="宋体" w:cs="宋体"/>
          <w:color w:val="auto"/>
          <w:sz w:val="24"/>
          <w:szCs w:val="24"/>
          <w:highlight w:val="none"/>
          <w:lang w:val="en-US" w:eastAsia="zh-CN"/>
        </w:rPr>
        <w:t>5</w:t>
      </w:r>
      <w:r>
        <w:rPr>
          <w:rFonts w:hint="eastAsia" w:ascii="宋体" w:hAnsi="宋体" w:eastAsia="宋体" w:cs="宋体"/>
          <w:color w:val="auto"/>
          <w:sz w:val="24"/>
          <w:szCs w:val="24"/>
          <w:highlight w:val="none"/>
        </w:rPr>
        <w:t xml:space="preserve"> </w:t>
      </w:r>
      <w:r>
        <w:rPr>
          <w:rFonts w:hint="eastAsia" w:ascii="宋体" w:hAnsi="宋体" w:eastAsia="宋体" w:cs="宋体"/>
          <w:color w:val="auto"/>
          <w:sz w:val="24"/>
          <w:szCs w:val="24"/>
          <w:highlight w:val="none"/>
          <w:lang w:val="en-US" w:eastAsia="zh-CN"/>
        </w:rPr>
        <w:t>立项文件</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lang w:val="en-US" w:eastAsia="zh-CN"/>
        </w:rPr>
        <w:t>7</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lang w:val="en-US" w:eastAsia="zh-CN"/>
        </w:rPr>
        <w:t>7</w:t>
      </w:r>
    </w:p>
    <w:p>
      <w:pPr>
        <w:pStyle w:val="12"/>
        <w:tabs>
          <w:tab w:val="right" w:leader="dot" w:pos="8306"/>
        </w:tabs>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_Toc7445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lang w:val="en-US" w:eastAsia="zh-CN"/>
        </w:rPr>
        <w:t>附图1地理位置图</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PAGEREF _Toc7445 \h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78</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fldChar w:fldCharType="end"/>
      </w:r>
    </w:p>
    <w:p>
      <w:pPr>
        <w:pStyle w:val="12"/>
        <w:tabs>
          <w:tab w:val="right" w:leader="dot" w:pos="8306"/>
        </w:tabs>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_Toc32067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lang w:val="en-US" w:eastAsia="zh-CN"/>
        </w:rPr>
        <w:t>附图2 项目评价范围及与周围环境关系图</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PAGEREF _Toc32067 \h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79</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fldChar w:fldCharType="end"/>
      </w:r>
    </w:p>
    <w:p>
      <w:pPr>
        <w:pStyle w:val="12"/>
        <w:tabs>
          <w:tab w:val="right" w:leader="dot" w:pos="8306"/>
        </w:tabs>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_Toc26943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lang w:val="en-US" w:eastAsia="zh-CN"/>
        </w:rPr>
        <w:t>附图3 加速器机房平面布置图</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PAGEREF _Toc26943 \h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80</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fldChar w:fldCharType="end"/>
      </w:r>
    </w:p>
    <w:p>
      <w:pPr>
        <w:pStyle w:val="12"/>
        <w:tabs>
          <w:tab w:val="right" w:leader="dot" w:pos="8306"/>
        </w:tabs>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_Toc14471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lang w:val="en-US" w:eastAsia="zh-CN"/>
        </w:rPr>
        <w:t>附图4加速器机房剖面图</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PAGEREF _Toc14471 \h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80</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fldChar w:fldCharType="end"/>
      </w:r>
    </w:p>
    <w:p>
      <w:pPr>
        <w:pStyle w:val="12"/>
        <w:tabs>
          <w:tab w:val="right" w:leader="dot" w:pos="8306"/>
        </w:tabs>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HYPERLINK \l _Toc11604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lang w:val="en-US" w:eastAsia="zh-CN"/>
        </w:rPr>
        <w:t>附图5 机房急停按钮设计图</w:t>
      </w:r>
      <w:r>
        <w:rPr>
          <w:rFonts w:hint="eastAsia" w:ascii="宋体" w:hAnsi="宋体" w:eastAsia="宋体" w:cs="宋体"/>
          <w:color w:val="auto"/>
          <w:sz w:val="24"/>
          <w:szCs w:val="24"/>
          <w:highlight w:val="none"/>
        </w:rPr>
        <w:tab/>
      </w: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PAGEREF _Toc11604 \h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82</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fldChar w:fldCharType="end"/>
      </w:r>
    </w:p>
    <w:p>
      <w:pPr>
        <w:pStyle w:val="12"/>
        <w:tabs>
          <w:tab w:val="right" w:leader="dot" w:pos="8306"/>
        </w:tabs>
        <w:spacing w:line="360" w:lineRule="auto"/>
        <w:rPr>
          <w:rFonts w:hint="eastAsia" w:ascii="宋体" w:hAnsi="宋体" w:eastAsia="宋体" w:cs="宋体"/>
          <w:b w:val="0"/>
          <w:bCs w:val="0"/>
          <w:color w:val="auto"/>
          <w:sz w:val="24"/>
          <w:szCs w:val="24"/>
          <w:highlight w:val="none"/>
        </w:rPr>
      </w:pPr>
      <w:r>
        <w:rPr>
          <w:rFonts w:hint="eastAsia" w:ascii="宋体" w:hAnsi="宋体" w:eastAsia="宋体" w:cs="宋体"/>
          <w:b w:val="0"/>
          <w:bCs w:val="0"/>
          <w:color w:val="auto"/>
          <w:sz w:val="24"/>
          <w:szCs w:val="24"/>
          <w:highlight w:val="none"/>
        </w:rPr>
        <w:fldChar w:fldCharType="begin"/>
      </w:r>
      <w:r>
        <w:rPr>
          <w:rFonts w:hint="eastAsia" w:ascii="宋体" w:hAnsi="宋体" w:eastAsia="宋体" w:cs="宋体"/>
          <w:b w:val="0"/>
          <w:bCs w:val="0"/>
          <w:color w:val="auto"/>
          <w:sz w:val="24"/>
          <w:szCs w:val="24"/>
          <w:highlight w:val="none"/>
        </w:rPr>
        <w:instrText xml:space="preserve"> HYPERLINK \l _Toc11604 </w:instrText>
      </w:r>
      <w:r>
        <w:rPr>
          <w:rFonts w:hint="eastAsia" w:ascii="宋体" w:hAnsi="宋体" w:eastAsia="宋体" w:cs="宋体"/>
          <w:b w:val="0"/>
          <w:bCs w:val="0"/>
          <w:color w:val="auto"/>
          <w:sz w:val="24"/>
          <w:szCs w:val="24"/>
          <w:highlight w:val="none"/>
        </w:rPr>
        <w:fldChar w:fldCharType="separate"/>
      </w:r>
      <w:r>
        <w:rPr>
          <w:rFonts w:hint="eastAsia" w:ascii="宋体" w:hAnsi="宋体" w:eastAsia="宋体" w:cs="宋体"/>
          <w:b w:val="0"/>
          <w:bCs w:val="0"/>
          <w:color w:val="auto"/>
          <w:sz w:val="24"/>
          <w:szCs w:val="24"/>
          <w:highlight w:val="none"/>
          <w:lang w:val="en-US" w:eastAsia="zh-CN"/>
        </w:rPr>
        <w:t xml:space="preserve">附图6 </w:t>
      </w:r>
      <w:r>
        <w:rPr>
          <w:rFonts w:hint="eastAsia" w:ascii="宋体" w:hAnsi="宋体" w:eastAsia="宋体" w:cs="宋体"/>
          <w:b w:val="0"/>
          <w:bCs w:val="0"/>
          <w:color w:val="auto"/>
          <w:kern w:val="44"/>
          <w:sz w:val="24"/>
          <w:szCs w:val="24"/>
          <w:highlight w:val="none"/>
          <w:lang w:val="en-US" w:eastAsia="zh-CN" w:bidi="ar-SA"/>
        </w:rPr>
        <w:t>机房通风系统设计图</w:t>
      </w:r>
      <w:r>
        <w:rPr>
          <w:rFonts w:hint="eastAsia" w:ascii="宋体" w:hAnsi="宋体" w:eastAsia="宋体" w:cs="宋体"/>
          <w:b w:val="0"/>
          <w:bCs w:val="0"/>
          <w:color w:val="auto"/>
          <w:sz w:val="24"/>
          <w:szCs w:val="24"/>
          <w:highlight w:val="none"/>
        </w:rPr>
        <w:tab/>
      </w:r>
      <w:r>
        <w:rPr>
          <w:rFonts w:hint="eastAsia" w:ascii="宋体" w:hAnsi="宋体" w:eastAsia="宋体" w:cs="宋体"/>
          <w:b w:val="0"/>
          <w:bCs w:val="0"/>
          <w:color w:val="auto"/>
          <w:sz w:val="24"/>
          <w:szCs w:val="24"/>
          <w:highlight w:val="none"/>
        </w:rPr>
        <w:fldChar w:fldCharType="begin"/>
      </w:r>
      <w:r>
        <w:rPr>
          <w:rFonts w:hint="eastAsia" w:ascii="宋体" w:hAnsi="宋体" w:eastAsia="宋体" w:cs="宋体"/>
          <w:b w:val="0"/>
          <w:bCs w:val="0"/>
          <w:color w:val="auto"/>
          <w:sz w:val="24"/>
          <w:szCs w:val="24"/>
          <w:highlight w:val="none"/>
        </w:rPr>
        <w:instrText xml:space="preserve"> PAGEREF _Toc11604 \h </w:instrText>
      </w:r>
      <w:r>
        <w:rPr>
          <w:rFonts w:hint="eastAsia" w:ascii="宋体" w:hAnsi="宋体" w:eastAsia="宋体" w:cs="宋体"/>
          <w:b w:val="0"/>
          <w:bCs w:val="0"/>
          <w:color w:val="auto"/>
          <w:sz w:val="24"/>
          <w:szCs w:val="24"/>
          <w:highlight w:val="none"/>
        </w:rPr>
        <w:fldChar w:fldCharType="separate"/>
      </w:r>
      <w:r>
        <w:rPr>
          <w:rFonts w:hint="eastAsia" w:ascii="宋体" w:hAnsi="宋体" w:eastAsia="宋体" w:cs="宋体"/>
          <w:b w:val="0"/>
          <w:bCs w:val="0"/>
          <w:color w:val="auto"/>
          <w:sz w:val="24"/>
          <w:szCs w:val="24"/>
          <w:highlight w:val="none"/>
        </w:rPr>
        <w:t>82</w:t>
      </w:r>
      <w:r>
        <w:rPr>
          <w:rFonts w:hint="eastAsia" w:ascii="宋体" w:hAnsi="宋体" w:eastAsia="宋体" w:cs="宋体"/>
          <w:b w:val="0"/>
          <w:bCs w:val="0"/>
          <w:color w:val="auto"/>
          <w:sz w:val="24"/>
          <w:szCs w:val="24"/>
          <w:highlight w:val="none"/>
        </w:rPr>
        <w:fldChar w:fldCharType="end"/>
      </w:r>
      <w:r>
        <w:rPr>
          <w:rFonts w:hint="eastAsia" w:ascii="宋体" w:hAnsi="宋体" w:eastAsia="宋体" w:cs="宋体"/>
          <w:b w:val="0"/>
          <w:bCs w:val="0"/>
          <w:color w:val="auto"/>
          <w:sz w:val="24"/>
          <w:szCs w:val="24"/>
          <w:highlight w:val="none"/>
        </w:rPr>
        <w:fldChar w:fldCharType="end"/>
      </w:r>
    </w:p>
    <w:p>
      <w:pPr>
        <w:pStyle w:val="12"/>
        <w:tabs>
          <w:tab w:val="right" w:leader="dot" w:pos="8306"/>
        </w:tabs>
        <w:spacing w:line="360" w:lineRule="auto"/>
        <w:rPr>
          <w:rFonts w:hint="eastAsia" w:ascii="宋体" w:hAnsi="宋体" w:eastAsia="宋体" w:cs="宋体"/>
          <w:color w:val="auto"/>
          <w:sz w:val="24"/>
          <w:szCs w:val="24"/>
          <w:highlight w:val="none"/>
        </w:rPr>
      </w:pPr>
      <w:r>
        <w:rPr>
          <w:rFonts w:hint="eastAsia" w:ascii="宋体" w:hAnsi="宋体" w:eastAsia="宋体" w:cs="宋体"/>
          <w:b w:val="0"/>
          <w:bCs w:val="0"/>
          <w:color w:val="auto"/>
          <w:sz w:val="24"/>
          <w:szCs w:val="24"/>
          <w:highlight w:val="none"/>
        </w:rPr>
        <w:fldChar w:fldCharType="begin"/>
      </w:r>
      <w:r>
        <w:rPr>
          <w:rFonts w:hint="eastAsia" w:ascii="宋体" w:hAnsi="宋体" w:eastAsia="宋体" w:cs="宋体"/>
          <w:b w:val="0"/>
          <w:bCs w:val="0"/>
          <w:color w:val="auto"/>
          <w:sz w:val="24"/>
          <w:szCs w:val="24"/>
          <w:highlight w:val="none"/>
        </w:rPr>
        <w:instrText xml:space="preserve"> HYPERLINK \l _Toc11604 </w:instrText>
      </w:r>
      <w:r>
        <w:rPr>
          <w:rFonts w:hint="eastAsia" w:ascii="宋体" w:hAnsi="宋体" w:eastAsia="宋体" w:cs="宋体"/>
          <w:b w:val="0"/>
          <w:bCs w:val="0"/>
          <w:color w:val="auto"/>
          <w:sz w:val="24"/>
          <w:szCs w:val="24"/>
          <w:highlight w:val="none"/>
        </w:rPr>
        <w:fldChar w:fldCharType="separate"/>
      </w:r>
      <w:r>
        <w:rPr>
          <w:rFonts w:hint="eastAsia" w:ascii="宋体" w:hAnsi="宋体" w:eastAsia="宋体" w:cs="宋体"/>
          <w:b w:val="0"/>
          <w:bCs w:val="0"/>
          <w:color w:val="auto"/>
          <w:sz w:val="24"/>
          <w:szCs w:val="24"/>
          <w:highlight w:val="none"/>
          <w:lang w:val="en-US" w:eastAsia="zh-CN"/>
        </w:rPr>
        <w:t xml:space="preserve">附图5 </w:t>
      </w:r>
      <w:r>
        <w:rPr>
          <w:rFonts w:hint="eastAsia" w:ascii="宋体" w:hAnsi="宋体" w:eastAsia="宋体" w:cs="宋体"/>
          <w:b w:val="0"/>
          <w:bCs w:val="0"/>
          <w:color w:val="auto"/>
          <w:kern w:val="44"/>
          <w:sz w:val="24"/>
          <w:szCs w:val="24"/>
          <w:highlight w:val="none"/>
          <w:lang w:val="en-US" w:eastAsia="zh-CN" w:bidi="ar-SA"/>
        </w:rPr>
        <w:t>加速器所在建筑整体平面布置图</w:t>
      </w:r>
      <w:r>
        <w:rPr>
          <w:rFonts w:hint="eastAsia" w:ascii="宋体" w:hAnsi="宋体" w:eastAsia="宋体" w:cs="宋体"/>
          <w:b w:val="0"/>
          <w:bCs w:val="0"/>
          <w:color w:val="auto"/>
          <w:sz w:val="24"/>
          <w:szCs w:val="24"/>
          <w:highlight w:val="none"/>
        </w:rPr>
        <w:tab/>
      </w:r>
      <w:r>
        <w:rPr>
          <w:rFonts w:hint="eastAsia" w:ascii="宋体" w:hAnsi="宋体" w:eastAsia="宋体" w:cs="宋体"/>
          <w:b w:val="0"/>
          <w:bCs w:val="0"/>
          <w:color w:val="auto"/>
          <w:sz w:val="24"/>
          <w:szCs w:val="24"/>
          <w:highlight w:val="none"/>
        </w:rPr>
        <w:fldChar w:fldCharType="begin"/>
      </w:r>
      <w:r>
        <w:rPr>
          <w:rFonts w:hint="eastAsia" w:ascii="宋体" w:hAnsi="宋体" w:eastAsia="宋体" w:cs="宋体"/>
          <w:b w:val="0"/>
          <w:bCs w:val="0"/>
          <w:color w:val="auto"/>
          <w:sz w:val="24"/>
          <w:szCs w:val="24"/>
          <w:highlight w:val="none"/>
        </w:rPr>
        <w:instrText xml:space="preserve"> PAGEREF _Toc11604 \h </w:instrText>
      </w:r>
      <w:r>
        <w:rPr>
          <w:rFonts w:hint="eastAsia" w:ascii="宋体" w:hAnsi="宋体" w:eastAsia="宋体" w:cs="宋体"/>
          <w:b w:val="0"/>
          <w:bCs w:val="0"/>
          <w:color w:val="auto"/>
          <w:sz w:val="24"/>
          <w:szCs w:val="24"/>
          <w:highlight w:val="none"/>
        </w:rPr>
        <w:fldChar w:fldCharType="separate"/>
      </w:r>
      <w:r>
        <w:rPr>
          <w:rFonts w:hint="eastAsia" w:ascii="宋体" w:hAnsi="宋体" w:eastAsia="宋体" w:cs="宋体"/>
          <w:b w:val="0"/>
          <w:bCs w:val="0"/>
          <w:color w:val="auto"/>
          <w:sz w:val="24"/>
          <w:szCs w:val="24"/>
          <w:highlight w:val="none"/>
        </w:rPr>
        <w:t>82</w:t>
      </w:r>
      <w:r>
        <w:rPr>
          <w:rFonts w:hint="eastAsia" w:ascii="宋体" w:hAnsi="宋体" w:eastAsia="宋体" w:cs="宋体"/>
          <w:b w:val="0"/>
          <w:bCs w:val="0"/>
          <w:color w:val="auto"/>
          <w:sz w:val="24"/>
          <w:szCs w:val="24"/>
          <w:highlight w:val="none"/>
        </w:rPr>
        <w:fldChar w:fldCharType="end"/>
      </w:r>
      <w:r>
        <w:rPr>
          <w:rFonts w:hint="eastAsia" w:ascii="宋体" w:hAnsi="宋体" w:eastAsia="宋体" w:cs="宋体"/>
          <w:b w:val="0"/>
          <w:bCs w:val="0"/>
          <w:color w:val="auto"/>
          <w:sz w:val="24"/>
          <w:szCs w:val="24"/>
          <w:highlight w:val="none"/>
        </w:rPr>
        <w:fldChar w:fldCharType="end"/>
      </w:r>
    </w:p>
    <w:p>
      <w:pPr>
        <w:rPr>
          <w:rFonts w:hint="eastAsia" w:ascii="宋体" w:hAnsi="宋体" w:eastAsia="宋体" w:cs="宋体"/>
          <w:color w:val="auto"/>
          <w:highlight w:val="none"/>
        </w:rPr>
      </w:pPr>
    </w:p>
    <w:p>
      <w:pPr>
        <w:pStyle w:val="12"/>
        <w:tabs>
          <w:tab w:val="right" w:leader="dot" w:pos="8296"/>
        </w:tabs>
        <w:spacing w:line="360" w:lineRule="auto"/>
        <w:rPr>
          <w:rFonts w:hint="eastAsia" w:ascii="宋体" w:hAnsi="宋体" w:eastAsia="宋体" w:cs="宋体"/>
          <w:color w:val="0000FF"/>
          <w:sz w:val="24"/>
          <w:highlight w:val="none"/>
        </w:rPr>
      </w:pPr>
      <w:r>
        <w:rPr>
          <w:rFonts w:hint="eastAsia" w:ascii="宋体" w:hAnsi="宋体" w:eastAsia="宋体" w:cs="宋体"/>
          <w:color w:val="auto"/>
          <w:sz w:val="24"/>
          <w:szCs w:val="24"/>
          <w:highlight w:val="none"/>
        </w:rPr>
        <w:fldChar w:fldCharType="end"/>
      </w:r>
      <w:r>
        <w:rPr>
          <w:rFonts w:hint="eastAsia" w:ascii="宋体" w:hAnsi="宋体" w:eastAsia="宋体" w:cs="宋体"/>
          <w:color w:val="0000FF"/>
          <w:sz w:val="24"/>
          <w:highlight w:val="none"/>
        </w:rPr>
        <w:t xml:space="preserve"> </w:t>
      </w:r>
    </w:p>
    <w:p>
      <w:pPr>
        <w:spacing w:line="480" w:lineRule="auto"/>
        <w:outlineLvl w:val="0"/>
        <w:rPr>
          <w:rFonts w:hint="eastAsia" w:ascii="宋体" w:hAnsi="宋体" w:eastAsia="宋体" w:cs="宋体"/>
          <w:b/>
          <w:color w:val="0000FF"/>
          <w:sz w:val="24"/>
          <w:highlight w:val="none"/>
        </w:rPr>
        <w:sectPr>
          <w:footerReference r:id="rId3" w:type="default"/>
          <w:pgSz w:w="11906" w:h="16838"/>
          <w:pgMar w:top="1440" w:right="1800" w:bottom="1440" w:left="1800" w:header="851" w:footer="992" w:gutter="0"/>
          <w:pgBorders>
            <w:top w:val="none" w:sz="0" w:space="0"/>
            <w:left w:val="none" w:sz="0" w:space="0"/>
            <w:bottom w:val="none" w:sz="0" w:space="0"/>
            <w:right w:val="none" w:sz="0" w:space="0"/>
          </w:pgBorders>
          <w:pgNumType w:start="1"/>
          <w:cols w:space="425" w:num="1"/>
          <w:docGrid w:type="lines" w:linePitch="312" w:charSpace="0"/>
        </w:sectPr>
      </w:pPr>
    </w:p>
    <w:p>
      <w:pPr>
        <w:spacing w:line="360" w:lineRule="auto"/>
        <w:outlineLvl w:val="0"/>
        <w:rPr>
          <w:rFonts w:hint="eastAsia" w:ascii="宋体" w:hAnsi="宋体" w:eastAsia="宋体" w:cs="宋体"/>
          <w:b/>
          <w:color w:val="auto"/>
          <w:sz w:val="28"/>
          <w:szCs w:val="28"/>
          <w:highlight w:val="none"/>
        </w:rPr>
      </w:pPr>
      <w:bookmarkStart w:id="0" w:name="_Toc7589"/>
      <w:r>
        <w:rPr>
          <w:rFonts w:hint="eastAsia" w:ascii="宋体" w:hAnsi="宋体" w:eastAsia="宋体" w:cs="宋体"/>
          <w:b/>
          <w:color w:val="auto"/>
          <w:sz w:val="28"/>
          <w:szCs w:val="28"/>
          <w:highlight w:val="none"/>
        </w:rPr>
        <w:t>表1 项目基本情况</w:t>
      </w:r>
      <w:bookmarkEnd w:id="0"/>
    </w:p>
    <w:tbl>
      <w:tblPr>
        <w:tblStyle w:val="1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3"/>
        <w:gridCol w:w="1009"/>
        <w:gridCol w:w="946"/>
        <w:gridCol w:w="1478"/>
        <w:gridCol w:w="735"/>
        <w:gridCol w:w="1860"/>
        <w:gridCol w:w="15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exact"/>
        </w:trPr>
        <w:tc>
          <w:tcPr>
            <w:tcW w:w="1139" w:type="pct"/>
            <w:gridSpan w:val="2"/>
            <w:vAlign w:val="center"/>
          </w:tcPr>
          <w:p>
            <w:pPr>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建设项目名称</w:t>
            </w:r>
          </w:p>
        </w:tc>
        <w:tc>
          <w:tcPr>
            <w:tcW w:w="3860" w:type="pct"/>
            <w:gridSpan w:val="5"/>
            <w:vAlign w:val="center"/>
          </w:tcPr>
          <w:p>
            <w:pPr>
              <w:spacing w:line="360" w:lineRule="auto"/>
              <w:jc w:val="center"/>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双矿医院新建直线加速器机房项目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exact"/>
        </w:trPr>
        <w:tc>
          <w:tcPr>
            <w:tcW w:w="1139" w:type="pct"/>
            <w:gridSpan w:val="2"/>
            <w:vAlign w:val="center"/>
          </w:tcPr>
          <w:p>
            <w:pPr>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建设单位</w:t>
            </w:r>
          </w:p>
        </w:tc>
        <w:tc>
          <w:tcPr>
            <w:tcW w:w="3860" w:type="pct"/>
            <w:gridSpan w:val="5"/>
            <w:vAlign w:val="center"/>
          </w:tcPr>
          <w:p>
            <w:pPr>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lang w:val="en-US" w:eastAsia="zh-CN"/>
              </w:rPr>
              <w:t>双鸭山双矿医院有限公司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exact"/>
        </w:trPr>
        <w:tc>
          <w:tcPr>
            <w:tcW w:w="1139" w:type="pct"/>
            <w:gridSpan w:val="2"/>
            <w:vAlign w:val="center"/>
          </w:tcPr>
          <w:p>
            <w:pPr>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szCs w:val="24"/>
                <w:highlight w:val="none"/>
              </w:rPr>
              <w:t>法人代表</w:t>
            </w:r>
          </w:p>
        </w:tc>
        <w:tc>
          <w:tcPr>
            <w:tcW w:w="555" w:type="pct"/>
            <w:vAlign w:val="center"/>
          </w:tcPr>
          <w:p>
            <w:pPr>
              <w:spacing w:line="240" w:lineRule="auto"/>
              <w:jc w:val="center"/>
              <w:rPr>
                <w:rFonts w:hint="eastAsia" w:ascii="宋体" w:hAnsi="宋体" w:eastAsia="宋体" w:cs="宋体"/>
                <w:color w:val="auto"/>
                <w:sz w:val="24"/>
                <w:highlight w:val="none"/>
                <w:lang w:val="en-US" w:eastAsia="zh-CN"/>
              </w:rPr>
            </w:pPr>
            <w:r>
              <w:rPr>
                <w:rFonts w:hint="eastAsia" w:ascii="宋体" w:hAnsi="宋体" w:eastAsia="宋体" w:cs="宋体"/>
                <w:color w:val="auto"/>
                <w:sz w:val="24"/>
                <w:szCs w:val="24"/>
                <w:highlight w:val="none"/>
                <w:lang w:val="en-US" w:eastAsia="zh-CN"/>
              </w:rPr>
              <w:t>徐克达</w:t>
            </w:r>
          </w:p>
        </w:tc>
        <w:tc>
          <w:tcPr>
            <w:tcW w:w="867" w:type="pct"/>
            <w:vAlign w:val="center"/>
          </w:tcPr>
          <w:p>
            <w:pPr>
              <w:spacing w:line="240" w:lineRule="auto"/>
              <w:jc w:val="center"/>
              <w:rPr>
                <w:rFonts w:hint="eastAsia" w:ascii="宋体" w:hAnsi="宋体" w:eastAsia="宋体" w:cs="宋体"/>
                <w:color w:val="auto"/>
                <w:sz w:val="24"/>
                <w:highlight w:val="none"/>
              </w:rPr>
            </w:pPr>
            <w:r>
              <w:rPr>
                <w:rFonts w:hint="eastAsia" w:ascii="宋体" w:hAnsi="宋体" w:eastAsia="宋体" w:cs="宋体"/>
                <w:color w:val="auto"/>
                <w:sz w:val="24"/>
                <w:szCs w:val="24"/>
                <w:highlight w:val="none"/>
                <w:lang w:eastAsia="zh-CN"/>
              </w:rPr>
              <w:t>联系人</w:t>
            </w:r>
          </w:p>
        </w:tc>
        <w:tc>
          <w:tcPr>
            <w:tcW w:w="431" w:type="pct"/>
            <w:vAlign w:val="center"/>
          </w:tcPr>
          <w:p>
            <w:pPr>
              <w:spacing w:line="240" w:lineRule="auto"/>
              <w:jc w:val="center"/>
              <w:rPr>
                <w:rFonts w:hint="eastAsia" w:ascii="宋体" w:hAnsi="宋体" w:eastAsia="宋体" w:cs="宋体"/>
                <w:color w:val="auto"/>
                <w:sz w:val="24"/>
                <w:highlight w:val="none"/>
              </w:rPr>
            </w:pPr>
            <w:r>
              <w:rPr>
                <w:rFonts w:hint="eastAsia" w:ascii="宋体" w:hAnsi="宋体" w:eastAsia="宋体" w:cs="宋体"/>
                <w:color w:val="auto"/>
                <w:sz w:val="24"/>
                <w:szCs w:val="24"/>
                <w:highlight w:val="none"/>
                <w:lang w:val="en-US" w:eastAsia="zh-CN"/>
              </w:rPr>
              <w:t>于鹏</w:t>
            </w:r>
          </w:p>
        </w:tc>
        <w:tc>
          <w:tcPr>
            <w:tcW w:w="1091" w:type="pct"/>
            <w:vAlign w:val="center"/>
          </w:tcPr>
          <w:p>
            <w:pPr>
              <w:spacing w:line="240" w:lineRule="auto"/>
              <w:jc w:val="center"/>
              <w:rPr>
                <w:rFonts w:hint="eastAsia" w:ascii="宋体" w:hAnsi="宋体" w:eastAsia="宋体" w:cs="宋体"/>
                <w:color w:val="auto"/>
                <w:sz w:val="24"/>
                <w:highlight w:val="none"/>
              </w:rPr>
            </w:pPr>
            <w:r>
              <w:rPr>
                <w:rFonts w:hint="eastAsia" w:ascii="宋体" w:hAnsi="宋体" w:eastAsia="宋体" w:cs="宋体"/>
                <w:color w:val="auto"/>
                <w:sz w:val="24"/>
                <w:szCs w:val="24"/>
                <w:highlight w:val="none"/>
                <w:lang w:eastAsia="zh-CN"/>
              </w:rPr>
              <w:t>联系电话</w:t>
            </w:r>
          </w:p>
        </w:tc>
        <w:tc>
          <w:tcPr>
            <w:tcW w:w="914" w:type="pct"/>
            <w:vAlign w:val="center"/>
          </w:tcPr>
          <w:p>
            <w:pPr>
              <w:spacing w:line="240" w:lineRule="auto"/>
              <w:jc w:val="center"/>
              <w:rPr>
                <w:rFonts w:hint="eastAsia" w:ascii="宋体" w:hAnsi="宋体" w:eastAsia="宋体" w:cs="宋体"/>
                <w:color w:val="auto"/>
                <w:sz w:val="24"/>
                <w:highlight w:val="none"/>
              </w:rPr>
            </w:pPr>
            <w:r>
              <w:rPr>
                <w:rFonts w:hint="eastAsia" w:ascii="宋体" w:hAnsi="宋体" w:eastAsia="宋体" w:cs="宋体"/>
                <w:color w:val="auto"/>
                <w:sz w:val="24"/>
                <w:szCs w:val="24"/>
                <w:highlight w:val="none"/>
                <w:lang w:val="en-US" w:eastAsia="zh-CN"/>
              </w:rPr>
              <w:t>19003632999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exact"/>
        </w:trPr>
        <w:tc>
          <w:tcPr>
            <w:tcW w:w="1139" w:type="pct"/>
            <w:gridSpan w:val="2"/>
            <w:vAlign w:val="center"/>
          </w:tcPr>
          <w:p>
            <w:pPr>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注册地址</w:t>
            </w:r>
          </w:p>
        </w:tc>
        <w:tc>
          <w:tcPr>
            <w:tcW w:w="3860" w:type="pct"/>
            <w:gridSpan w:val="5"/>
            <w:vAlign w:val="center"/>
          </w:tcPr>
          <w:p>
            <w:pPr>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szCs w:val="24"/>
                <w:highlight w:val="none"/>
                <w:lang w:eastAsia="zh-CN"/>
              </w:rPr>
              <w:t>黑龙江省双鸭山市尖山区新兴大街200号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exact"/>
        </w:trPr>
        <w:tc>
          <w:tcPr>
            <w:tcW w:w="1139" w:type="pct"/>
            <w:gridSpan w:val="2"/>
            <w:vAlign w:val="center"/>
          </w:tcPr>
          <w:p>
            <w:pPr>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项目建设地点</w:t>
            </w:r>
          </w:p>
        </w:tc>
        <w:tc>
          <w:tcPr>
            <w:tcW w:w="3860" w:type="pct"/>
            <w:gridSpan w:val="5"/>
            <w:vAlign w:val="center"/>
          </w:tcPr>
          <w:p>
            <w:pPr>
              <w:spacing w:line="240" w:lineRule="auto"/>
              <w:jc w:val="center"/>
              <w:rPr>
                <w:rFonts w:hint="eastAsia" w:ascii="宋体" w:hAnsi="宋体" w:eastAsia="宋体" w:cs="宋体"/>
                <w:color w:val="auto"/>
                <w:sz w:val="24"/>
                <w:highlight w:val="none"/>
                <w:lang w:val="en-US" w:eastAsia="zh-CN"/>
              </w:rPr>
            </w:pPr>
            <w:r>
              <w:rPr>
                <w:rFonts w:hint="eastAsia" w:ascii="宋体" w:hAnsi="宋体" w:eastAsia="宋体" w:cs="宋体"/>
                <w:color w:val="auto"/>
                <w:sz w:val="24"/>
                <w:szCs w:val="24"/>
                <w:highlight w:val="none"/>
                <w:lang w:eastAsia="zh-CN"/>
              </w:rPr>
              <w:t>黑龙江省双鸭山市尖山区新兴大街200号</w:t>
            </w:r>
            <w:r>
              <w:rPr>
                <w:rFonts w:hint="eastAsia" w:ascii="宋体" w:hAnsi="宋体" w:eastAsia="宋体" w:cs="宋体"/>
                <w:color w:val="auto"/>
                <w:sz w:val="24"/>
                <w:szCs w:val="24"/>
                <w:highlight w:val="none"/>
              </w:rPr>
              <w:t>双鸭山双矿医院有限公司</w:t>
            </w:r>
            <w:r>
              <w:rPr>
                <w:rFonts w:hint="eastAsia" w:ascii="宋体" w:hAnsi="宋体" w:eastAsia="宋体" w:cs="宋体"/>
                <w:color w:val="auto"/>
                <w:sz w:val="24"/>
                <w:szCs w:val="24"/>
                <w:highlight w:val="none"/>
                <w:lang w:val="en-US" w:eastAsia="zh-CN"/>
              </w:rPr>
              <w:t>院内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exact"/>
        </w:trPr>
        <w:tc>
          <w:tcPr>
            <w:tcW w:w="1139" w:type="pct"/>
            <w:gridSpan w:val="2"/>
            <w:vAlign w:val="center"/>
          </w:tcPr>
          <w:p>
            <w:pPr>
              <w:spacing w:line="24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立项审批部门</w:t>
            </w:r>
          </w:p>
        </w:tc>
        <w:tc>
          <w:tcPr>
            <w:tcW w:w="1854" w:type="pct"/>
            <w:gridSpan w:val="3"/>
            <w:vAlign w:val="center"/>
          </w:tcPr>
          <w:p>
            <w:pPr>
              <w:spacing w:line="240" w:lineRule="auto"/>
              <w:jc w:val="center"/>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w:t>
            </w:r>
          </w:p>
        </w:tc>
        <w:tc>
          <w:tcPr>
            <w:tcW w:w="1091" w:type="pct"/>
            <w:vAlign w:val="center"/>
          </w:tcPr>
          <w:p>
            <w:pPr>
              <w:spacing w:line="24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批准文号</w:t>
            </w:r>
          </w:p>
        </w:tc>
        <w:tc>
          <w:tcPr>
            <w:tcW w:w="914" w:type="pct"/>
            <w:vAlign w:val="center"/>
          </w:tcPr>
          <w:p>
            <w:pPr>
              <w:spacing w:line="360" w:lineRule="auto"/>
              <w:jc w:val="center"/>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exact"/>
        </w:trPr>
        <w:tc>
          <w:tcPr>
            <w:tcW w:w="1139" w:type="pct"/>
            <w:gridSpan w:val="2"/>
            <w:vAlign w:val="center"/>
          </w:tcPr>
          <w:p>
            <w:pPr>
              <w:spacing w:line="24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建设项目总投资</w:t>
            </w:r>
            <w:r>
              <w:rPr>
                <w:rFonts w:hint="eastAsia" w:ascii="宋体" w:hAnsi="宋体" w:eastAsia="宋体" w:cs="宋体"/>
                <w:color w:val="auto"/>
                <w:sz w:val="24"/>
                <w:highlight w:val="none"/>
                <w:lang w:val="en-US" w:eastAsia="zh-CN"/>
              </w:rPr>
              <w:t>(</w:t>
            </w:r>
            <w:r>
              <w:rPr>
                <w:rFonts w:hint="eastAsia" w:ascii="宋体" w:hAnsi="宋体" w:eastAsia="宋体" w:cs="宋体"/>
                <w:color w:val="auto"/>
                <w:sz w:val="24"/>
                <w:highlight w:val="none"/>
              </w:rPr>
              <w:t>万元</w:t>
            </w:r>
            <w:r>
              <w:rPr>
                <w:rFonts w:hint="eastAsia" w:ascii="宋体" w:hAnsi="宋体" w:eastAsia="宋体" w:cs="宋体"/>
                <w:color w:val="auto"/>
                <w:sz w:val="24"/>
                <w:highlight w:val="none"/>
                <w:lang w:val="en-US" w:eastAsia="zh-CN"/>
              </w:rPr>
              <w:t>)</w:t>
            </w:r>
          </w:p>
        </w:tc>
        <w:tc>
          <w:tcPr>
            <w:tcW w:w="555" w:type="pct"/>
            <w:vAlign w:val="center"/>
          </w:tcPr>
          <w:p>
            <w:pPr>
              <w:spacing w:line="240" w:lineRule="auto"/>
              <w:jc w:val="center"/>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90</w:t>
            </w:r>
          </w:p>
        </w:tc>
        <w:tc>
          <w:tcPr>
            <w:tcW w:w="867" w:type="pct"/>
            <w:vAlign w:val="center"/>
          </w:tcPr>
          <w:p>
            <w:pPr>
              <w:spacing w:line="24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项目环保投资</w:t>
            </w:r>
            <w:r>
              <w:rPr>
                <w:rFonts w:hint="eastAsia" w:ascii="宋体" w:hAnsi="宋体" w:eastAsia="宋体" w:cs="宋体"/>
                <w:color w:val="auto"/>
                <w:sz w:val="24"/>
                <w:highlight w:val="none"/>
                <w:lang w:val="en-US" w:eastAsia="zh-CN"/>
              </w:rPr>
              <w:t>(</w:t>
            </w:r>
            <w:r>
              <w:rPr>
                <w:rFonts w:hint="eastAsia" w:ascii="宋体" w:hAnsi="宋体" w:eastAsia="宋体" w:cs="宋体"/>
                <w:color w:val="auto"/>
                <w:sz w:val="24"/>
                <w:highlight w:val="none"/>
              </w:rPr>
              <w:t>万元</w:t>
            </w:r>
            <w:r>
              <w:rPr>
                <w:rFonts w:hint="eastAsia" w:ascii="宋体" w:hAnsi="宋体" w:eastAsia="宋体" w:cs="宋体"/>
                <w:color w:val="auto"/>
                <w:sz w:val="24"/>
                <w:highlight w:val="none"/>
                <w:lang w:val="en-US" w:eastAsia="zh-CN"/>
              </w:rPr>
              <w:t>)</w:t>
            </w:r>
          </w:p>
        </w:tc>
        <w:tc>
          <w:tcPr>
            <w:tcW w:w="431" w:type="pct"/>
            <w:vAlign w:val="center"/>
          </w:tcPr>
          <w:p>
            <w:pPr>
              <w:spacing w:line="240" w:lineRule="auto"/>
              <w:jc w:val="center"/>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80</w:t>
            </w:r>
          </w:p>
        </w:tc>
        <w:tc>
          <w:tcPr>
            <w:tcW w:w="1091" w:type="pct"/>
            <w:vAlign w:val="center"/>
          </w:tcPr>
          <w:p>
            <w:pPr>
              <w:spacing w:line="240" w:lineRule="auto"/>
              <w:jc w:val="center"/>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rPr>
              <w:t>投资比例</w:t>
            </w:r>
            <w:r>
              <w:rPr>
                <w:rFonts w:hint="eastAsia" w:ascii="宋体" w:hAnsi="宋体" w:eastAsia="宋体" w:cs="宋体"/>
                <w:color w:val="auto"/>
                <w:sz w:val="24"/>
                <w:highlight w:val="none"/>
                <w:lang w:val="en-US" w:eastAsia="zh-CN"/>
              </w:rPr>
              <w:t>(</w:t>
            </w:r>
            <w:r>
              <w:rPr>
                <w:rFonts w:hint="eastAsia" w:ascii="宋体" w:hAnsi="宋体" w:eastAsia="宋体" w:cs="宋体"/>
                <w:color w:val="auto"/>
                <w:sz w:val="24"/>
                <w:highlight w:val="none"/>
              </w:rPr>
              <w:t>环保投资/总投资</w:t>
            </w:r>
            <w:r>
              <w:rPr>
                <w:rFonts w:hint="eastAsia" w:ascii="宋体" w:hAnsi="宋体" w:eastAsia="宋体" w:cs="宋体"/>
                <w:color w:val="auto"/>
                <w:sz w:val="24"/>
                <w:highlight w:val="none"/>
                <w:lang w:val="en-US" w:eastAsia="zh-CN"/>
              </w:rPr>
              <w:t>)</w:t>
            </w:r>
          </w:p>
        </w:tc>
        <w:tc>
          <w:tcPr>
            <w:tcW w:w="914" w:type="pct"/>
            <w:vAlign w:val="center"/>
          </w:tcPr>
          <w:p>
            <w:pPr>
              <w:spacing w:line="24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lang w:val="en-US" w:eastAsia="zh-CN"/>
              </w:rPr>
              <w:t>88.89</w:t>
            </w:r>
            <w:r>
              <w:rPr>
                <w:rFonts w:hint="eastAsia" w:ascii="宋体" w:hAnsi="宋体" w:eastAsia="宋体" w:cs="宋体"/>
                <w:color w:val="auto"/>
                <w:sz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exact"/>
        </w:trPr>
        <w:tc>
          <w:tcPr>
            <w:tcW w:w="1139" w:type="pct"/>
            <w:gridSpan w:val="2"/>
            <w:vAlign w:val="center"/>
          </w:tcPr>
          <w:p>
            <w:pPr>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项目性质</w:t>
            </w:r>
          </w:p>
        </w:tc>
        <w:tc>
          <w:tcPr>
            <w:tcW w:w="1854" w:type="pct"/>
            <w:gridSpan w:val="3"/>
            <w:vAlign w:val="center"/>
          </w:tcPr>
          <w:p>
            <w:pPr>
              <w:spacing w:line="360" w:lineRule="auto"/>
              <w:jc w:val="center"/>
              <w:rPr>
                <w:rFonts w:hint="eastAsia" w:ascii="宋体" w:hAnsi="宋体" w:eastAsia="宋体" w:cs="宋体"/>
                <w:color w:val="auto"/>
                <w:sz w:val="24"/>
                <w:highlight w:val="none"/>
              </w:rPr>
            </w:pPr>
            <w:r>
              <w:rPr>
                <w:rFonts w:hint="eastAsia" w:ascii="宋体" w:hAnsi="宋体" w:eastAsia="宋体" w:cs="宋体"/>
                <w:b/>
                <w:color w:val="auto"/>
                <w:sz w:val="24"/>
                <w:highlight w:val="none"/>
                <w:lang w:eastAsia="zh-CN"/>
              </w:rPr>
              <w:sym w:font="Wingdings 2" w:char="0052"/>
            </w:r>
            <w:r>
              <w:rPr>
                <w:rFonts w:hint="eastAsia" w:ascii="宋体" w:hAnsi="宋体" w:eastAsia="宋体" w:cs="宋体"/>
                <w:color w:val="auto"/>
                <w:sz w:val="24"/>
                <w:highlight w:val="none"/>
              </w:rPr>
              <w:t>新建</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rPr>
              <w:t>改建</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rPr>
              <w:t>扩建</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rPr>
              <w:t>其他</w:t>
            </w:r>
          </w:p>
        </w:tc>
        <w:tc>
          <w:tcPr>
            <w:tcW w:w="1091" w:type="pct"/>
            <w:vAlign w:val="center"/>
          </w:tcPr>
          <w:p>
            <w:pPr>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占地面积（m</w:t>
            </w:r>
            <w:r>
              <w:rPr>
                <w:rFonts w:hint="eastAsia" w:ascii="宋体" w:hAnsi="宋体" w:eastAsia="宋体" w:cs="宋体"/>
                <w:color w:val="auto"/>
                <w:sz w:val="24"/>
                <w:highlight w:val="none"/>
                <w:vertAlign w:val="superscript"/>
              </w:rPr>
              <w:t>2</w:t>
            </w:r>
            <w:r>
              <w:rPr>
                <w:rFonts w:hint="eastAsia" w:ascii="宋体" w:hAnsi="宋体" w:eastAsia="宋体" w:cs="宋体"/>
                <w:color w:val="auto"/>
                <w:sz w:val="24"/>
                <w:highlight w:val="none"/>
              </w:rPr>
              <w:t>)</w:t>
            </w:r>
          </w:p>
        </w:tc>
        <w:tc>
          <w:tcPr>
            <w:tcW w:w="914" w:type="pct"/>
            <w:vAlign w:val="center"/>
          </w:tcPr>
          <w:p>
            <w:pPr>
              <w:spacing w:line="360" w:lineRule="auto"/>
              <w:jc w:val="center"/>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190.93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exact"/>
        </w:trPr>
        <w:tc>
          <w:tcPr>
            <w:tcW w:w="547" w:type="pct"/>
            <w:vMerge w:val="restart"/>
            <w:vAlign w:val="center"/>
          </w:tcPr>
          <w:p>
            <w:pPr>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应</w:t>
            </w:r>
          </w:p>
          <w:p>
            <w:pPr>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用</w:t>
            </w:r>
          </w:p>
          <w:p>
            <w:pPr>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类</w:t>
            </w:r>
          </w:p>
          <w:p>
            <w:pPr>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型</w:t>
            </w:r>
          </w:p>
        </w:tc>
        <w:tc>
          <w:tcPr>
            <w:tcW w:w="592" w:type="pct"/>
            <w:vMerge w:val="restart"/>
            <w:vAlign w:val="center"/>
          </w:tcPr>
          <w:p>
            <w:pPr>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放射源</w:t>
            </w:r>
          </w:p>
        </w:tc>
        <w:tc>
          <w:tcPr>
            <w:tcW w:w="555" w:type="pct"/>
            <w:vAlign w:val="center"/>
          </w:tcPr>
          <w:p>
            <w:pPr>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□销售</w:t>
            </w:r>
          </w:p>
        </w:tc>
        <w:tc>
          <w:tcPr>
            <w:tcW w:w="3304" w:type="pct"/>
            <w:gridSpan w:val="4"/>
            <w:vAlign w:val="center"/>
          </w:tcPr>
          <w:p>
            <w:pPr>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□Ⅰ类□Ⅱ类□Ⅲ类□Ⅳ类□Ⅴ类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exact"/>
        </w:trPr>
        <w:tc>
          <w:tcPr>
            <w:tcW w:w="547" w:type="pct"/>
            <w:vMerge w:val="continue"/>
            <w:vAlign w:val="center"/>
          </w:tcPr>
          <w:p>
            <w:pPr>
              <w:spacing w:line="360" w:lineRule="auto"/>
              <w:jc w:val="center"/>
              <w:rPr>
                <w:rFonts w:hint="eastAsia" w:ascii="宋体" w:hAnsi="宋体" w:eastAsia="宋体" w:cs="宋体"/>
                <w:color w:val="auto"/>
                <w:sz w:val="24"/>
                <w:highlight w:val="none"/>
              </w:rPr>
            </w:pPr>
          </w:p>
        </w:tc>
        <w:tc>
          <w:tcPr>
            <w:tcW w:w="592" w:type="pct"/>
            <w:vMerge w:val="continue"/>
            <w:vAlign w:val="center"/>
          </w:tcPr>
          <w:p>
            <w:pPr>
              <w:spacing w:line="360" w:lineRule="auto"/>
              <w:jc w:val="center"/>
              <w:rPr>
                <w:rFonts w:hint="eastAsia" w:ascii="宋体" w:hAnsi="宋体" w:eastAsia="宋体" w:cs="宋体"/>
                <w:color w:val="auto"/>
                <w:sz w:val="24"/>
                <w:highlight w:val="none"/>
              </w:rPr>
            </w:pPr>
          </w:p>
        </w:tc>
        <w:tc>
          <w:tcPr>
            <w:tcW w:w="555" w:type="pct"/>
            <w:vAlign w:val="center"/>
          </w:tcPr>
          <w:p>
            <w:pPr>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□使用</w:t>
            </w:r>
          </w:p>
        </w:tc>
        <w:tc>
          <w:tcPr>
            <w:tcW w:w="3304" w:type="pct"/>
            <w:gridSpan w:val="4"/>
            <w:vAlign w:val="center"/>
          </w:tcPr>
          <w:p>
            <w:pPr>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□Ⅰ类（医疗使用）□Ⅱ类□Ⅲ类□Ⅳ类□Ⅴ类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exact"/>
        </w:trPr>
        <w:tc>
          <w:tcPr>
            <w:tcW w:w="547" w:type="pct"/>
            <w:vMerge w:val="continue"/>
            <w:vAlign w:val="center"/>
          </w:tcPr>
          <w:p>
            <w:pPr>
              <w:spacing w:line="360" w:lineRule="auto"/>
              <w:jc w:val="center"/>
              <w:rPr>
                <w:rFonts w:hint="eastAsia" w:ascii="宋体" w:hAnsi="宋体" w:eastAsia="宋体" w:cs="宋体"/>
                <w:color w:val="auto"/>
                <w:sz w:val="24"/>
                <w:highlight w:val="none"/>
              </w:rPr>
            </w:pPr>
          </w:p>
        </w:tc>
        <w:tc>
          <w:tcPr>
            <w:tcW w:w="592" w:type="pct"/>
            <w:vMerge w:val="restart"/>
            <w:vAlign w:val="center"/>
          </w:tcPr>
          <w:p>
            <w:pPr>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非密封放射性物质</w:t>
            </w:r>
          </w:p>
        </w:tc>
        <w:tc>
          <w:tcPr>
            <w:tcW w:w="555" w:type="pct"/>
            <w:vAlign w:val="center"/>
          </w:tcPr>
          <w:p>
            <w:pPr>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□生产</w:t>
            </w:r>
          </w:p>
        </w:tc>
        <w:tc>
          <w:tcPr>
            <w:tcW w:w="3304" w:type="pct"/>
            <w:gridSpan w:val="4"/>
            <w:vAlign w:val="center"/>
          </w:tcPr>
          <w:p>
            <w:pPr>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□制备PET用放射性药物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exact"/>
        </w:trPr>
        <w:tc>
          <w:tcPr>
            <w:tcW w:w="547" w:type="pct"/>
            <w:vMerge w:val="continue"/>
            <w:vAlign w:val="center"/>
          </w:tcPr>
          <w:p>
            <w:pPr>
              <w:spacing w:line="360" w:lineRule="auto"/>
              <w:jc w:val="center"/>
              <w:rPr>
                <w:rFonts w:hint="eastAsia" w:ascii="宋体" w:hAnsi="宋体" w:eastAsia="宋体" w:cs="宋体"/>
                <w:color w:val="auto"/>
                <w:sz w:val="24"/>
                <w:highlight w:val="none"/>
              </w:rPr>
            </w:pPr>
          </w:p>
        </w:tc>
        <w:tc>
          <w:tcPr>
            <w:tcW w:w="592" w:type="pct"/>
            <w:vMerge w:val="continue"/>
            <w:vAlign w:val="center"/>
          </w:tcPr>
          <w:p>
            <w:pPr>
              <w:spacing w:line="360" w:lineRule="auto"/>
              <w:jc w:val="center"/>
              <w:rPr>
                <w:rFonts w:hint="eastAsia" w:ascii="宋体" w:hAnsi="宋体" w:eastAsia="宋体" w:cs="宋体"/>
                <w:color w:val="auto"/>
                <w:sz w:val="24"/>
                <w:highlight w:val="none"/>
              </w:rPr>
            </w:pPr>
          </w:p>
        </w:tc>
        <w:tc>
          <w:tcPr>
            <w:tcW w:w="555" w:type="pct"/>
            <w:vAlign w:val="center"/>
          </w:tcPr>
          <w:p>
            <w:pPr>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□销售</w:t>
            </w:r>
          </w:p>
        </w:tc>
        <w:tc>
          <w:tcPr>
            <w:tcW w:w="3304" w:type="pct"/>
            <w:gridSpan w:val="4"/>
            <w:vAlign w:val="center"/>
          </w:tcPr>
          <w:p>
            <w:pPr>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exact"/>
        </w:trPr>
        <w:tc>
          <w:tcPr>
            <w:tcW w:w="547" w:type="pct"/>
            <w:vMerge w:val="continue"/>
            <w:vAlign w:val="center"/>
          </w:tcPr>
          <w:p>
            <w:pPr>
              <w:spacing w:line="360" w:lineRule="auto"/>
              <w:jc w:val="center"/>
              <w:rPr>
                <w:rFonts w:hint="eastAsia" w:ascii="宋体" w:hAnsi="宋体" w:eastAsia="宋体" w:cs="宋体"/>
                <w:color w:val="auto"/>
                <w:sz w:val="24"/>
                <w:highlight w:val="none"/>
              </w:rPr>
            </w:pPr>
          </w:p>
        </w:tc>
        <w:tc>
          <w:tcPr>
            <w:tcW w:w="592" w:type="pct"/>
            <w:vMerge w:val="continue"/>
            <w:vAlign w:val="center"/>
          </w:tcPr>
          <w:p>
            <w:pPr>
              <w:spacing w:line="360" w:lineRule="auto"/>
              <w:jc w:val="center"/>
              <w:rPr>
                <w:rFonts w:hint="eastAsia" w:ascii="宋体" w:hAnsi="宋体" w:eastAsia="宋体" w:cs="宋体"/>
                <w:color w:val="auto"/>
                <w:sz w:val="24"/>
                <w:highlight w:val="none"/>
              </w:rPr>
            </w:pPr>
          </w:p>
        </w:tc>
        <w:tc>
          <w:tcPr>
            <w:tcW w:w="555" w:type="pct"/>
            <w:vAlign w:val="center"/>
          </w:tcPr>
          <w:p>
            <w:pPr>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□使用</w:t>
            </w:r>
          </w:p>
        </w:tc>
        <w:tc>
          <w:tcPr>
            <w:tcW w:w="3304" w:type="pct"/>
            <w:gridSpan w:val="4"/>
            <w:vAlign w:val="center"/>
          </w:tcPr>
          <w:p>
            <w:pPr>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□乙□丙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exact"/>
        </w:trPr>
        <w:tc>
          <w:tcPr>
            <w:tcW w:w="547" w:type="pct"/>
            <w:vMerge w:val="continue"/>
            <w:vAlign w:val="center"/>
          </w:tcPr>
          <w:p>
            <w:pPr>
              <w:spacing w:line="360" w:lineRule="auto"/>
              <w:jc w:val="center"/>
              <w:rPr>
                <w:rFonts w:hint="eastAsia" w:ascii="宋体" w:hAnsi="宋体" w:eastAsia="宋体" w:cs="宋体"/>
                <w:color w:val="auto"/>
                <w:sz w:val="24"/>
                <w:highlight w:val="none"/>
              </w:rPr>
            </w:pPr>
          </w:p>
        </w:tc>
        <w:tc>
          <w:tcPr>
            <w:tcW w:w="592" w:type="pct"/>
            <w:vMerge w:val="restart"/>
            <w:vAlign w:val="center"/>
          </w:tcPr>
          <w:p>
            <w:pPr>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射线</w:t>
            </w:r>
          </w:p>
          <w:p>
            <w:pPr>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装置</w:t>
            </w:r>
          </w:p>
        </w:tc>
        <w:tc>
          <w:tcPr>
            <w:tcW w:w="555" w:type="pct"/>
            <w:vAlign w:val="center"/>
          </w:tcPr>
          <w:p>
            <w:pPr>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□生产</w:t>
            </w:r>
          </w:p>
        </w:tc>
        <w:tc>
          <w:tcPr>
            <w:tcW w:w="3304" w:type="pct"/>
            <w:gridSpan w:val="4"/>
            <w:vAlign w:val="center"/>
          </w:tcPr>
          <w:p>
            <w:pPr>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□Ⅱ类□Ⅲ类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exact"/>
        </w:trPr>
        <w:tc>
          <w:tcPr>
            <w:tcW w:w="547" w:type="pct"/>
            <w:vMerge w:val="continue"/>
            <w:vAlign w:val="center"/>
          </w:tcPr>
          <w:p>
            <w:pPr>
              <w:spacing w:line="360" w:lineRule="auto"/>
              <w:jc w:val="center"/>
              <w:rPr>
                <w:rFonts w:hint="eastAsia" w:ascii="宋体" w:hAnsi="宋体" w:eastAsia="宋体" w:cs="宋体"/>
                <w:color w:val="auto"/>
                <w:sz w:val="24"/>
                <w:highlight w:val="none"/>
              </w:rPr>
            </w:pPr>
          </w:p>
        </w:tc>
        <w:tc>
          <w:tcPr>
            <w:tcW w:w="592" w:type="pct"/>
            <w:vMerge w:val="continue"/>
            <w:vAlign w:val="center"/>
          </w:tcPr>
          <w:p>
            <w:pPr>
              <w:spacing w:line="360" w:lineRule="auto"/>
              <w:jc w:val="center"/>
              <w:rPr>
                <w:rFonts w:hint="eastAsia" w:ascii="宋体" w:hAnsi="宋体" w:eastAsia="宋体" w:cs="宋体"/>
                <w:color w:val="auto"/>
                <w:sz w:val="24"/>
                <w:highlight w:val="none"/>
              </w:rPr>
            </w:pPr>
          </w:p>
        </w:tc>
        <w:tc>
          <w:tcPr>
            <w:tcW w:w="555" w:type="pct"/>
            <w:vAlign w:val="center"/>
          </w:tcPr>
          <w:p>
            <w:pPr>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□销售</w:t>
            </w:r>
          </w:p>
        </w:tc>
        <w:tc>
          <w:tcPr>
            <w:tcW w:w="3304" w:type="pct"/>
            <w:gridSpan w:val="4"/>
            <w:vAlign w:val="center"/>
          </w:tcPr>
          <w:p>
            <w:pPr>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□Ⅱ类□Ⅲ类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exact"/>
        </w:trPr>
        <w:tc>
          <w:tcPr>
            <w:tcW w:w="547" w:type="pct"/>
            <w:vMerge w:val="continue"/>
            <w:vAlign w:val="center"/>
          </w:tcPr>
          <w:p>
            <w:pPr>
              <w:spacing w:line="360" w:lineRule="auto"/>
              <w:jc w:val="center"/>
              <w:rPr>
                <w:rFonts w:hint="eastAsia" w:ascii="宋体" w:hAnsi="宋体" w:eastAsia="宋体" w:cs="宋体"/>
                <w:color w:val="auto"/>
                <w:sz w:val="24"/>
                <w:highlight w:val="none"/>
              </w:rPr>
            </w:pPr>
          </w:p>
        </w:tc>
        <w:tc>
          <w:tcPr>
            <w:tcW w:w="592" w:type="pct"/>
            <w:vMerge w:val="continue"/>
            <w:vAlign w:val="center"/>
          </w:tcPr>
          <w:p>
            <w:pPr>
              <w:spacing w:line="360" w:lineRule="auto"/>
              <w:jc w:val="center"/>
              <w:rPr>
                <w:rFonts w:hint="eastAsia" w:ascii="宋体" w:hAnsi="宋体" w:eastAsia="宋体" w:cs="宋体"/>
                <w:color w:val="auto"/>
                <w:sz w:val="24"/>
                <w:highlight w:val="none"/>
              </w:rPr>
            </w:pPr>
          </w:p>
        </w:tc>
        <w:tc>
          <w:tcPr>
            <w:tcW w:w="555" w:type="pct"/>
            <w:vAlign w:val="center"/>
          </w:tcPr>
          <w:p>
            <w:pPr>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sym w:font="Wingdings 2" w:char="0052"/>
            </w:r>
            <w:r>
              <w:rPr>
                <w:rFonts w:hint="eastAsia" w:ascii="宋体" w:hAnsi="宋体" w:eastAsia="宋体" w:cs="宋体"/>
                <w:color w:val="auto"/>
                <w:sz w:val="24"/>
                <w:highlight w:val="none"/>
              </w:rPr>
              <w:t>使用</w:t>
            </w:r>
          </w:p>
        </w:tc>
        <w:tc>
          <w:tcPr>
            <w:tcW w:w="3304" w:type="pct"/>
            <w:gridSpan w:val="4"/>
            <w:vAlign w:val="center"/>
          </w:tcPr>
          <w:p>
            <w:pPr>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sym w:font="Wingdings 2" w:char="0052"/>
            </w:r>
            <w:r>
              <w:rPr>
                <w:rFonts w:hint="eastAsia" w:ascii="宋体" w:hAnsi="宋体" w:eastAsia="宋体" w:cs="宋体"/>
                <w:color w:val="auto"/>
                <w:sz w:val="24"/>
                <w:highlight w:val="none"/>
              </w:rPr>
              <w:t>Ⅱ类</w:t>
            </w:r>
            <w:r>
              <w:rPr>
                <w:rFonts w:hint="eastAsia" w:ascii="宋体" w:hAnsi="宋体" w:eastAsia="宋体" w:cs="宋体"/>
                <w:color w:val="auto"/>
                <w:sz w:val="24"/>
                <w:highlight w:val="none"/>
              </w:rPr>
              <w:sym w:font="Wingdings 2" w:char="00A3"/>
            </w:r>
            <w:r>
              <w:rPr>
                <w:rFonts w:hint="eastAsia" w:ascii="宋体" w:hAnsi="宋体" w:eastAsia="宋体" w:cs="宋体"/>
                <w:color w:val="auto"/>
                <w:sz w:val="24"/>
                <w:highlight w:val="none"/>
              </w:rPr>
              <w:t>Ⅲ类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exact"/>
        </w:trPr>
        <w:tc>
          <w:tcPr>
            <w:tcW w:w="547" w:type="pct"/>
            <w:vMerge w:val="continue"/>
            <w:vAlign w:val="center"/>
          </w:tcPr>
          <w:p>
            <w:pPr>
              <w:spacing w:line="360" w:lineRule="auto"/>
              <w:jc w:val="center"/>
              <w:rPr>
                <w:rFonts w:hint="eastAsia" w:ascii="宋体" w:hAnsi="宋体" w:eastAsia="宋体" w:cs="宋体"/>
                <w:color w:val="auto"/>
                <w:sz w:val="24"/>
                <w:highlight w:val="none"/>
              </w:rPr>
            </w:pPr>
          </w:p>
        </w:tc>
        <w:tc>
          <w:tcPr>
            <w:tcW w:w="592" w:type="pct"/>
            <w:vAlign w:val="center"/>
          </w:tcPr>
          <w:p>
            <w:pPr>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其他</w:t>
            </w:r>
          </w:p>
        </w:tc>
        <w:tc>
          <w:tcPr>
            <w:tcW w:w="3860" w:type="pct"/>
            <w:gridSpan w:val="5"/>
            <w:vAlign w:val="center"/>
          </w:tcPr>
          <w:p>
            <w:pPr>
              <w:spacing w:line="360" w:lineRule="auto"/>
              <w:jc w:val="cente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6" w:hRule="atLeast"/>
        </w:trPr>
        <w:tc>
          <w:tcPr>
            <w:tcW w:w="5000" w:type="pct"/>
            <w:gridSpan w:val="7"/>
          </w:tcPr>
          <w:p>
            <w:pPr>
              <w:spacing w:line="360" w:lineRule="auto"/>
              <w:rPr>
                <w:rFonts w:hint="eastAsia" w:ascii="宋体" w:hAnsi="宋体" w:eastAsia="宋体" w:cs="宋体"/>
                <w:b/>
                <w:bCs/>
                <w:color w:val="auto"/>
                <w:sz w:val="28"/>
                <w:szCs w:val="28"/>
                <w:highlight w:val="none"/>
              </w:rPr>
            </w:pPr>
            <w:r>
              <w:rPr>
                <w:rFonts w:hint="eastAsia" w:ascii="宋体" w:hAnsi="宋体" w:eastAsia="宋体" w:cs="宋体"/>
                <w:b/>
                <w:bCs/>
                <w:color w:val="auto"/>
                <w:sz w:val="28"/>
                <w:szCs w:val="28"/>
                <w:highlight w:val="none"/>
              </w:rPr>
              <w:t>1.1项目概述</w:t>
            </w:r>
          </w:p>
          <w:p>
            <w:pPr>
              <w:spacing w:line="360" w:lineRule="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1.1.1 建设单位情况</w:t>
            </w:r>
          </w:p>
          <w:p>
            <w:pPr>
              <w:spacing w:line="360" w:lineRule="auto"/>
              <w:ind w:firstLine="480" w:firstLineChars="200"/>
              <w:rPr>
                <w:rFonts w:hint="eastAsia" w:ascii="宋体" w:hAnsi="宋体" w:eastAsia="宋体" w:cs="宋体"/>
                <w:color w:val="000000"/>
                <w:kern w:val="0"/>
                <w:sz w:val="24"/>
                <w:szCs w:val="24"/>
                <w:highlight w:val="none"/>
                <w:lang w:val="en-US" w:eastAsia="zh-CN" w:bidi="ar"/>
              </w:rPr>
            </w:pPr>
            <w:r>
              <w:rPr>
                <w:rFonts w:hint="eastAsia" w:ascii="宋体" w:hAnsi="宋体" w:eastAsia="宋体" w:cs="宋体"/>
                <w:color w:val="auto"/>
                <w:kern w:val="0"/>
                <w:sz w:val="24"/>
                <w:szCs w:val="24"/>
                <w:highlight w:val="none"/>
                <w:lang w:val="en-US" w:eastAsia="zh-CN" w:bidi="ar"/>
              </w:rPr>
              <w:t>双鸭山双矿医院有限公司（以下简称“双矿医院”）前身为双鸭山煤炭总医院，始建于1949年</w:t>
            </w:r>
            <w:r>
              <w:rPr>
                <w:rFonts w:hint="eastAsia" w:ascii="宋体" w:hAnsi="宋体" w:eastAsia="宋体" w:cs="宋体"/>
                <w:color w:val="000000"/>
                <w:kern w:val="0"/>
                <w:sz w:val="24"/>
                <w:szCs w:val="24"/>
                <w:highlight w:val="none"/>
                <w:lang w:val="en-US" w:eastAsia="zh-CN" w:bidi="ar"/>
              </w:rPr>
              <w:t>，1994年被评为国家三级甲等医院，医院目前拥有床位1000张，现有临床科室33个、医技科室10个、职能和后勤科室16个。由院本部及3家分院、8家社区卫生服务中心组成，双矿医院及其下辖单位占地面积共259938.21平方米，建筑面积125801.21平方米。</w:t>
            </w:r>
          </w:p>
          <w:p>
            <w:pPr>
              <w:spacing w:line="360" w:lineRule="auto"/>
              <w:ind w:firstLine="480" w:firstLineChars="200"/>
              <w:rPr>
                <w:rFonts w:hint="eastAsia" w:ascii="宋体" w:hAnsi="宋体" w:eastAsia="宋体" w:cs="宋体"/>
                <w:sz w:val="24"/>
              </w:rPr>
            </w:pPr>
            <w:r>
              <w:rPr>
                <w:rFonts w:hint="eastAsia" w:ascii="宋体" w:hAnsi="宋体" w:eastAsia="宋体" w:cs="宋体"/>
                <w:sz w:val="24"/>
              </w:rPr>
              <w:t>双鸭山双矿医院有限公司曾先后获得国家级爱婴医院、全国院务公开示范医院、全国百姓放心示范医院、省级文明单位等多项荣誉称号。顺利通过了国家级胸痛中心及助理医师培训基地认证，目前正在创建国家卒中中心、呼吸与危重症医学科规范化建设项目，住院医师规范化培训基地的创建工作。双矿医院担负双鸭山市“七个质控中心”的检查与指导任务及双鸭山矿区及周围地区的医疗、教学，科研、预防保健，急诊急救和康复工作，是哈尔滨医科大学、佳木斯大学、齐齐哈尔医学院，牡丹江医学院四所国家高等医学院校的教学医院。是北京呼吸病研究所、哈尔滨医科大学第一附属医院，第二附属医院．第三附属医院、第四附属医院的协作医院，也是国家卫生部国际急救中心网络医院和佳木斯大学的硕士研究生培养基地之一。医院拥有国家级，省级各专业委员会副主任委员、常务委员、委员113名。医疗设备总值1.17亿元，2018年5月1日市矿医保双向开放后，患者就诊量增长较快，日住院患者较开放前提高了10.3%，日门急诊患者较开放前提高了1.3%。充分体现了改制后医院适应新体系新机制所带来的的活力，医院取得了长足发展。</w:t>
            </w:r>
          </w:p>
          <w:p>
            <w:pPr>
              <w:spacing w:line="360" w:lineRule="auto"/>
              <w:ind w:firstLine="480" w:firstLineChars="200"/>
              <w:rPr>
                <w:rFonts w:hint="eastAsia" w:ascii="宋体" w:hAnsi="宋体" w:eastAsia="宋体" w:cs="宋体"/>
                <w:color w:val="000000"/>
                <w:kern w:val="0"/>
                <w:sz w:val="24"/>
                <w:szCs w:val="24"/>
                <w:highlight w:val="none"/>
                <w:lang w:val="en-US" w:eastAsia="zh-CN" w:bidi="ar"/>
              </w:rPr>
            </w:pPr>
            <w:r>
              <w:rPr>
                <w:rFonts w:hint="eastAsia" w:ascii="宋体" w:hAnsi="宋体" w:eastAsia="宋体" w:cs="宋体"/>
                <w:sz w:val="24"/>
                <w:lang w:val="en-US" w:eastAsia="zh-CN"/>
              </w:rPr>
              <w:t>由于原有</w:t>
            </w:r>
            <w:r>
              <w:rPr>
                <w:rFonts w:hint="eastAsia" w:ascii="宋体" w:hAnsi="宋体" w:eastAsia="宋体" w:cs="宋体"/>
                <w:sz w:val="24"/>
                <w:lang w:eastAsia="zh-CN"/>
              </w:rPr>
              <w:t>Elekta Synergy</w:t>
            </w:r>
            <w:r>
              <w:rPr>
                <w:rFonts w:hint="eastAsia" w:ascii="宋体" w:hAnsi="宋体" w:eastAsia="宋体" w:cs="宋体"/>
                <w:sz w:val="24"/>
                <w:lang w:val="en-US" w:eastAsia="zh-CN"/>
              </w:rPr>
              <w:t>直线加速器机房与院区新建建筑主体防火间距不满足相关要求</w:t>
            </w:r>
            <w:r>
              <w:rPr>
                <w:rFonts w:hint="eastAsia" w:ascii="宋体" w:hAnsi="宋体" w:eastAsia="宋体" w:cs="宋体"/>
                <w:sz w:val="24"/>
              </w:rPr>
              <w:t>，</w:t>
            </w:r>
            <w:r>
              <w:rPr>
                <w:rFonts w:hint="eastAsia" w:ascii="宋体" w:hAnsi="宋体" w:eastAsia="宋体" w:cs="宋体"/>
                <w:sz w:val="24"/>
                <w:lang w:val="en-US" w:eastAsia="zh-CN"/>
              </w:rPr>
              <w:t>因此双鸭山双矿医院有限公司拟在医院院内新建直线加速器机房1座，并将原有</w:t>
            </w:r>
            <w:r>
              <w:rPr>
                <w:rFonts w:hint="eastAsia" w:ascii="宋体" w:hAnsi="宋体" w:eastAsia="宋体" w:cs="宋体"/>
                <w:sz w:val="24"/>
                <w:lang w:eastAsia="zh-CN"/>
              </w:rPr>
              <w:t>Elekta Synergy</w:t>
            </w:r>
            <w:r>
              <w:rPr>
                <w:rFonts w:hint="eastAsia" w:ascii="宋体" w:hAnsi="宋体" w:eastAsia="宋体" w:cs="宋体"/>
                <w:sz w:val="24"/>
                <w:lang w:val="en-US" w:eastAsia="zh-CN"/>
              </w:rPr>
              <w:t>直线加速器机房移机至新建直线加速器机房内，以便满足建筑之间的防火间距要求，并更好地为患者服务。</w:t>
            </w:r>
          </w:p>
          <w:p>
            <w:pPr>
              <w:spacing w:line="360" w:lineRule="auto"/>
              <w:rPr>
                <w:rFonts w:hint="eastAsia" w:ascii="宋体" w:hAnsi="宋体" w:eastAsia="宋体" w:cs="宋体"/>
                <w:color w:val="auto"/>
                <w:sz w:val="24"/>
                <w:highlight w:val="none"/>
              </w:rPr>
            </w:pPr>
            <w:r>
              <w:rPr>
                <w:rFonts w:hint="eastAsia" w:ascii="宋体" w:hAnsi="宋体" w:eastAsia="宋体" w:cs="宋体"/>
                <w:b/>
                <w:color w:val="auto"/>
                <w:sz w:val="24"/>
                <w:highlight w:val="none"/>
              </w:rPr>
              <w:t>1.1.2原有核技术利用项目许可情况</w:t>
            </w:r>
          </w:p>
          <w:p>
            <w:pPr>
              <w:spacing w:line="360" w:lineRule="auto"/>
              <w:ind w:firstLine="480" w:firstLineChars="200"/>
              <w:rPr>
                <w:rFonts w:hint="eastAsia" w:ascii="宋体" w:hAnsi="宋体" w:eastAsia="宋体" w:cs="宋体"/>
                <w:color w:val="auto"/>
                <w:sz w:val="24"/>
                <w:highlight w:val="none"/>
                <w:lang w:val="en-US" w:eastAsia="zh-CN"/>
              </w:rPr>
            </w:pPr>
            <w:r>
              <w:rPr>
                <w:rFonts w:hint="eastAsia" w:ascii="宋体" w:hAnsi="宋体" w:eastAsia="宋体" w:cs="宋体"/>
                <w:color w:val="auto"/>
                <w:sz w:val="24"/>
                <w:szCs w:val="24"/>
                <w:highlight w:val="none"/>
                <w:lang w:val="en-US" w:eastAsia="zh-CN"/>
              </w:rPr>
              <w:t>双鸭山双矿医院有限公司目前</w:t>
            </w:r>
            <w:r>
              <w:rPr>
                <w:rFonts w:hint="eastAsia" w:ascii="宋体" w:hAnsi="宋体" w:eastAsia="宋体" w:cs="宋体"/>
                <w:color w:val="auto"/>
                <w:sz w:val="24"/>
                <w:szCs w:val="24"/>
                <w:highlight w:val="none"/>
              </w:rPr>
              <w:t>已办理了辐射安全许可证（</w:t>
            </w:r>
            <w:r>
              <w:rPr>
                <w:rFonts w:hint="eastAsia" w:ascii="宋体" w:hAnsi="宋体" w:eastAsia="宋体" w:cs="宋体"/>
                <w:bCs/>
                <w:color w:val="auto"/>
                <w:sz w:val="24"/>
                <w:szCs w:val="24"/>
                <w:highlight w:val="none"/>
              </w:rPr>
              <w:t>黑环辐证 [</w:t>
            </w:r>
            <w:r>
              <w:rPr>
                <w:rFonts w:hint="eastAsia" w:ascii="宋体" w:hAnsi="宋体" w:eastAsia="宋体" w:cs="宋体"/>
                <w:bCs/>
                <w:color w:val="auto"/>
                <w:sz w:val="24"/>
                <w:szCs w:val="24"/>
                <w:highlight w:val="none"/>
                <w:lang w:val="en-US" w:eastAsia="zh-CN"/>
              </w:rPr>
              <w:t>00327</w:t>
            </w:r>
            <w:r>
              <w:rPr>
                <w:rFonts w:hint="eastAsia" w:ascii="宋体" w:hAnsi="宋体" w:eastAsia="宋体" w:cs="宋体"/>
                <w:bCs/>
                <w:color w:val="auto"/>
                <w:sz w:val="24"/>
                <w:szCs w:val="24"/>
                <w:highlight w:val="none"/>
              </w:rPr>
              <w:t>]</w:t>
            </w:r>
            <w:r>
              <w:rPr>
                <w:rFonts w:hint="eastAsia" w:ascii="宋体" w:hAnsi="宋体" w:eastAsia="宋体" w:cs="宋体"/>
                <w:color w:val="auto"/>
                <w:sz w:val="24"/>
                <w:szCs w:val="24"/>
                <w:highlight w:val="none"/>
              </w:rPr>
              <w:t>），有效期至202</w:t>
            </w:r>
            <w:r>
              <w:rPr>
                <w:rFonts w:hint="eastAsia" w:ascii="宋体" w:hAnsi="宋体" w:eastAsia="宋体" w:cs="宋体"/>
                <w:color w:val="auto"/>
                <w:sz w:val="24"/>
                <w:szCs w:val="24"/>
                <w:highlight w:val="none"/>
                <w:lang w:val="en-US" w:eastAsia="zh-CN"/>
              </w:rPr>
              <w:t>5</w:t>
            </w:r>
            <w:r>
              <w:rPr>
                <w:rFonts w:hint="eastAsia" w:ascii="宋体" w:hAnsi="宋体" w:eastAsia="宋体" w:cs="宋体"/>
                <w:color w:val="auto"/>
                <w:sz w:val="24"/>
                <w:szCs w:val="24"/>
                <w:highlight w:val="none"/>
              </w:rPr>
              <w:t>年</w:t>
            </w:r>
            <w:r>
              <w:rPr>
                <w:rFonts w:hint="eastAsia" w:ascii="宋体" w:hAnsi="宋体" w:eastAsia="宋体" w:cs="宋体"/>
                <w:color w:val="auto"/>
                <w:sz w:val="24"/>
                <w:szCs w:val="24"/>
                <w:highlight w:val="none"/>
                <w:lang w:val="en-US" w:eastAsia="zh-CN"/>
              </w:rPr>
              <w:t>2</w:t>
            </w:r>
            <w:r>
              <w:rPr>
                <w:rFonts w:hint="eastAsia" w:ascii="宋体" w:hAnsi="宋体" w:eastAsia="宋体" w:cs="宋体"/>
                <w:color w:val="auto"/>
                <w:sz w:val="24"/>
                <w:szCs w:val="24"/>
                <w:highlight w:val="none"/>
              </w:rPr>
              <w:t>月，</w:t>
            </w:r>
            <w:r>
              <w:rPr>
                <w:rFonts w:hint="eastAsia" w:ascii="宋体" w:hAnsi="宋体" w:eastAsia="宋体" w:cs="宋体"/>
                <w:color w:val="auto"/>
                <w:sz w:val="24"/>
                <w:highlight w:val="none"/>
              </w:rPr>
              <w:t>种类和范围为</w:t>
            </w:r>
            <w:r>
              <w:rPr>
                <w:rFonts w:hint="eastAsia" w:ascii="宋体" w:hAnsi="宋体" w:eastAsia="宋体" w:cs="宋体"/>
                <w:color w:val="auto"/>
                <w:sz w:val="24"/>
                <w:highlight w:val="none"/>
                <w:lang w:val="en-US" w:eastAsia="zh-CN"/>
              </w:rPr>
              <w:t>使用Ⅰ类放射源；</w:t>
            </w:r>
            <w:r>
              <w:rPr>
                <w:rFonts w:hint="eastAsia" w:ascii="宋体" w:hAnsi="宋体" w:eastAsia="宋体" w:cs="宋体"/>
                <w:color w:val="auto"/>
                <w:sz w:val="24"/>
                <w:highlight w:val="none"/>
              </w:rPr>
              <w:t>使用Ⅱ</w:t>
            </w:r>
            <w:r>
              <w:rPr>
                <w:rFonts w:hint="eastAsia" w:ascii="宋体" w:hAnsi="宋体" w:eastAsia="宋体" w:cs="宋体"/>
                <w:color w:val="auto"/>
                <w:sz w:val="24"/>
                <w:highlight w:val="none"/>
                <w:lang w:val="en-US" w:eastAsia="zh-CN"/>
              </w:rPr>
              <w:t>类</w:t>
            </w:r>
            <w:r>
              <w:rPr>
                <w:rFonts w:hint="eastAsia" w:ascii="宋体" w:hAnsi="宋体" w:eastAsia="宋体" w:cs="宋体"/>
                <w:color w:val="auto"/>
                <w:sz w:val="24"/>
                <w:highlight w:val="none"/>
              </w:rPr>
              <w:t>、Ⅲ类射线装置 (见附件1)</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该单位所有辐射环保手续履行情况见表1-1</w:t>
            </w:r>
            <w:r>
              <w:rPr>
                <w:rFonts w:hint="eastAsia" w:ascii="宋体" w:hAnsi="宋体" w:eastAsia="宋体" w:cs="宋体"/>
                <w:color w:val="auto"/>
                <w:sz w:val="24"/>
                <w:highlight w:val="none"/>
              </w:rPr>
              <w:t>。</w:t>
            </w:r>
          </w:p>
          <w:p>
            <w:pPr>
              <w:spacing w:line="360" w:lineRule="auto"/>
              <w:ind w:firstLine="480" w:firstLineChars="200"/>
              <w:jc w:val="left"/>
              <w:rPr>
                <w:rFonts w:hint="eastAsia" w:ascii="宋体" w:hAnsi="宋体" w:eastAsia="宋体" w:cs="宋体"/>
                <w:b/>
                <w:color w:val="auto"/>
                <w:sz w:val="24"/>
                <w:highlight w:val="none"/>
              </w:rPr>
            </w:pPr>
            <w:r>
              <w:rPr>
                <w:rFonts w:hint="eastAsia" w:ascii="宋体" w:hAnsi="宋体" w:eastAsia="宋体" w:cs="宋体"/>
                <w:color w:val="auto"/>
                <w:sz w:val="24"/>
                <w:highlight w:val="none"/>
              </w:rPr>
              <w:t>医院许可原有</w:t>
            </w:r>
            <w:r>
              <w:rPr>
                <w:rFonts w:hint="eastAsia" w:ascii="宋体" w:hAnsi="宋体" w:eastAsia="宋体" w:cs="宋体"/>
                <w:color w:val="auto"/>
                <w:sz w:val="24"/>
                <w:highlight w:val="none"/>
                <w:lang w:val="en-US" w:eastAsia="zh-CN"/>
              </w:rPr>
              <w:t>放射源情况见表1-1，原有</w:t>
            </w:r>
            <w:r>
              <w:rPr>
                <w:rFonts w:hint="eastAsia" w:ascii="宋体" w:hAnsi="宋体" w:eastAsia="宋体" w:cs="宋体"/>
                <w:color w:val="auto"/>
                <w:sz w:val="24"/>
                <w:highlight w:val="none"/>
              </w:rPr>
              <w:t>射线装置情况见表1-</w:t>
            </w:r>
            <w:r>
              <w:rPr>
                <w:rFonts w:hint="eastAsia" w:ascii="宋体" w:hAnsi="宋体" w:eastAsia="宋体" w:cs="宋体"/>
                <w:color w:val="auto"/>
                <w:sz w:val="24"/>
                <w:highlight w:val="none"/>
                <w:lang w:val="en-US" w:eastAsia="zh-CN"/>
              </w:rPr>
              <w:t>2</w:t>
            </w:r>
            <w:r>
              <w:rPr>
                <w:rFonts w:hint="eastAsia" w:ascii="宋体" w:hAnsi="宋体" w:eastAsia="宋体" w:cs="宋体"/>
                <w:color w:val="auto"/>
                <w:sz w:val="24"/>
                <w:highlight w:val="none"/>
              </w:rPr>
              <w:t>。</w:t>
            </w:r>
          </w:p>
          <w:p>
            <w:pPr>
              <w:spacing w:line="240" w:lineRule="auto"/>
              <w:ind w:firstLine="0" w:firstLineChars="0"/>
              <w:jc w:val="center"/>
              <w:rPr>
                <w:rFonts w:hint="eastAsia" w:ascii="宋体" w:hAnsi="宋体" w:eastAsia="宋体" w:cs="宋体"/>
                <w:b/>
                <w:color w:val="auto"/>
                <w:sz w:val="21"/>
                <w:szCs w:val="21"/>
                <w:highlight w:val="none"/>
                <w:lang w:val="en-US" w:eastAsia="zh-CN"/>
              </w:rPr>
            </w:pPr>
            <w:r>
              <w:rPr>
                <w:rFonts w:hint="eastAsia" w:ascii="宋体" w:hAnsi="宋体" w:eastAsia="宋体" w:cs="宋体"/>
                <w:b/>
                <w:color w:val="auto"/>
                <w:sz w:val="21"/>
                <w:szCs w:val="21"/>
                <w:highlight w:val="none"/>
                <w:lang w:val="en-US" w:eastAsia="zh-CN"/>
              </w:rPr>
              <w:t>表1-1 原有放射源情况一览表</w:t>
            </w:r>
          </w:p>
          <w:tbl>
            <w:tblPr>
              <w:tblStyle w:val="1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45"/>
              <w:gridCol w:w="1312"/>
              <w:gridCol w:w="2115"/>
              <w:gridCol w:w="1140"/>
              <w:gridCol w:w="1579"/>
              <w:gridCol w:w="130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09" w:type="pct"/>
                  <w:vAlign w:val="center"/>
                </w:tcPr>
                <w:p>
                  <w:pPr>
                    <w:adjustRightInd w:val="0"/>
                    <w:snapToGrid w:val="0"/>
                    <w:jc w:val="center"/>
                    <w:rPr>
                      <w:rFonts w:hint="eastAsia" w:ascii="宋体" w:hAnsi="宋体" w:eastAsia="宋体" w:cs="宋体"/>
                      <w:b/>
                      <w:color w:val="auto"/>
                      <w:sz w:val="21"/>
                      <w:szCs w:val="21"/>
                    </w:rPr>
                  </w:pPr>
                  <w:r>
                    <w:rPr>
                      <w:rFonts w:hint="eastAsia" w:ascii="宋体" w:hAnsi="宋体" w:eastAsia="宋体" w:cs="宋体"/>
                      <w:b/>
                      <w:color w:val="auto"/>
                      <w:sz w:val="21"/>
                      <w:szCs w:val="21"/>
                    </w:rPr>
                    <w:t>序号</w:t>
                  </w:r>
                </w:p>
              </w:tc>
              <w:tc>
                <w:tcPr>
                  <w:tcW w:w="790" w:type="pct"/>
                  <w:vAlign w:val="center"/>
                </w:tcPr>
                <w:p>
                  <w:pPr>
                    <w:adjustRightInd w:val="0"/>
                    <w:snapToGrid w:val="0"/>
                    <w:jc w:val="center"/>
                    <w:rPr>
                      <w:rFonts w:hint="eastAsia" w:ascii="宋体" w:hAnsi="宋体" w:eastAsia="宋体" w:cs="宋体"/>
                      <w:b/>
                      <w:color w:val="auto"/>
                      <w:sz w:val="21"/>
                      <w:szCs w:val="21"/>
                    </w:rPr>
                  </w:pPr>
                  <w:r>
                    <w:rPr>
                      <w:rFonts w:hint="eastAsia" w:ascii="宋体" w:hAnsi="宋体" w:eastAsia="宋体" w:cs="宋体"/>
                      <w:b/>
                      <w:color w:val="auto"/>
                      <w:sz w:val="21"/>
                      <w:szCs w:val="21"/>
                    </w:rPr>
                    <w:t>核素</w:t>
                  </w:r>
                </w:p>
              </w:tc>
              <w:tc>
                <w:tcPr>
                  <w:tcW w:w="1274" w:type="pct"/>
                  <w:vAlign w:val="center"/>
                </w:tcPr>
                <w:p>
                  <w:pPr>
                    <w:adjustRightInd w:val="0"/>
                    <w:snapToGrid w:val="0"/>
                    <w:jc w:val="center"/>
                    <w:rPr>
                      <w:rFonts w:hint="eastAsia" w:ascii="宋体" w:hAnsi="宋体" w:eastAsia="宋体" w:cs="宋体"/>
                      <w:b/>
                      <w:color w:val="auto"/>
                      <w:sz w:val="21"/>
                      <w:szCs w:val="21"/>
                    </w:rPr>
                  </w:pPr>
                  <w:r>
                    <w:rPr>
                      <w:rFonts w:hint="eastAsia" w:ascii="宋体" w:hAnsi="宋体" w:eastAsia="宋体" w:cs="宋体"/>
                      <w:b/>
                      <w:color w:val="auto"/>
                      <w:sz w:val="21"/>
                      <w:szCs w:val="21"/>
                    </w:rPr>
                    <w:t>出厂活度（贝克）</w:t>
                  </w:r>
                </w:p>
              </w:tc>
              <w:tc>
                <w:tcPr>
                  <w:tcW w:w="686" w:type="pct"/>
                  <w:vAlign w:val="center"/>
                </w:tcPr>
                <w:p>
                  <w:pPr>
                    <w:adjustRightInd w:val="0"/>
                    <w:snapToGrid w:val="0"/>
                    <w:jc w:val="center"/>
                    <w:rPr>
                      <w:rFonts w:hint="eastAsia" w:ascii="宋体" w:hAnsi="宋体" w:eastAsia="宋体" w:cs="宋体"/>
                      <w:b/>
                      <w:color w:val="auto"/>
                      <w:sz w:val="21"/>
                      <w:szCs w:val="21"/>
                    </w:rPr>
                  </w:pPr>
                  <w:r>
                    <w:rPr>
                      <w:rFonts w:hint="eastAsia" w:ascii="宋体" w:hAnsi="宋体" w:eastAsia="宋体" w:cs="宋体"/>
                      <w:b/>
                      <w:color w:val="auto"/>
                      <w:sz w:val="21"/>
                      <w:szCs w:val="21"/>
                    </w:rPr>
                    <w:t>类别</w:t>
                  </w:r>
                </w:p>
              </w:tc>
              <w:tc>
                <w:tcPr>
                  <w:tcW w:w="951" w:type="pct"/>
                  <w:vAlign w:val="center"/>
                </w:tcPr>
                <w:p>
                  <w:pPr>
                    <w:adjustRightInd w:val="0"/>
                    <w:snapToGrid w:val="0"/>
                    <w:jc w:val="center"/>
                    <w:rPr>
                      <w:rFonts w:hint="eastAsia" w:ascii="宋体" w:hAnsi="宋体" w:eastAsia="宋体" w:cs="宋体"/>
                      <w:b/>
                      <w:color w:val="auto"/>
                      <w:sz w:val="21"/>
                      <w:szCs w:val="21"/>
                    </w:rPr>
                  </w:pPr>
                  <w:r>
                    <w:rPr>
                      <w:rFonts w:hint="eastAsia" w:ascii="宋体" w:hAnsi="宋体" w:eastAsia="宋体" w:cs="宋体"/>
                      <w:b/>
                      <w:color w:val="auto"/>
                      <w:sz w:val="21"/>
                      <w:szCs w:val="21"/>
                    </w:rPr>
                    <w:t>场所</w:t>
                  </w:r>
                </w:p>
              </w:tc>
              <w:tc>
                <w:tcPr>
                  <w:tcW w:w="788" w:type="pct"/>
                  <w:vAlign w:val="center"/>
                </w:tcPr>
                <w:p>
                  <w:pPr>
                    <w:adjustRightInd w:val="0"/>
                    <w:snapToGrid w:val="0"/>
                    <w:jc w:val="center"/>
                    <w:rPr>
                      <w:rFonts w:hint="eastAsia" w:ascii="宋体" w:hAnsi="宋体" w:eastAsia="宋体" w:cs="宋体"/>
                      <w:color w:val="auto"/>
                      <w:sz w:val="21"/>
                      <w:szCs w:val="21"/>
                    </w:rPr>
                  </w:pPr>
                  <w:r>
                    <w:rPr>
                      <w:rFonts w:hint="eastAsia" w:ascii="宋体" w:hAnsi="宋体" w:eastAsia="宋体" w:cs="宋体"/>
                      <w:b/>
                      <w:color w:val="auto"/>
                      <w:sz w:val="21"/>
                      <w:szCs w:val="21"/>
                    </w:rPr>
                    <w:t>活动种类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09" w:type="pct"/>
                  <w:vAlign w:val="center"/>
                </w:tcPr>
                <w:p>
                  <w:pPr>
                    <w:adjustRightInd w:val="0"/>
                    <w:snapToGrid w:val="0"/>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p>
              </w:tc>
              <w:tc>
                <w:tcPr>
                  <w:tcW w:w="790" w:type="pct"/>
                  <w:vAlign w:val="center"/>
                </w:tcPr>
                <w:p>
                  <w:pPr>
                    <w:adjustRightInd w:val="0"/>
                    <w:snapToGrid w:val="0"/>
                    <w:jc w:val="center"/>
                    <w:rPr>
                      <w:rFonts w:hint="eastAsia" w:ascii="宋体" w:hAnsi="宋体" w:eastAsia="宋体" w:cs="宋体"/>
                      <w:color w:val="auto"/>
                      <w:sz w:val="21"/>
                      <w:szCs w:val="21"/>
                    </w:rPr>
                  </w:pPr>
                  <w:r>
                    <w:rPr>
                      <w:rFonts w:hint="eastAsia" w:ascii="宋体" w:hAnsi="宋体" w:eastAsia="宋体" w:cs="宋体"/>
                      <w:color w:val="auto"/>
                      <w:sz w:val="21"/>
                      <w:szCs w:val="21"/>
                    </w:rPr>
                    <w:t>Co-60</w:t>
                  </w:r>
                </w:p>
              </w:tc>
              <w:tc>
                <w:tcPr>
                  <w:tcW w:w="1274" w:type="pct"/>
                  <w:vAlign w:val="center"/>
                </w:tcPr>
                <w:p>
                  <w:pPr>
                    <w:adjustRightInd w:val="0"/>
                    <w:snapToGrid w:val="0"/>
                    <w:jc w:val="center"/>
                    <w:rPr>
                      <w:rFonts w:hint="eastAsia" w:ascii="宋体" w:hAnsi="宋体" w:eastAsia="宋体" w:cs="宋体"/>
                      <w:color w:val="auto"/>
                      <w:sz w:val="21"/>
                      <w:szCs w:val="21"/>
                    </w:rPr>
                  </w:pPr>
                  <w:r>
                    <w:rPr>
                      <w:rFonts w:hint="eastAsia" w:ascii="宋体" w:hAnsi="宋体" w:eastAsia="宋体" w:cs="宋体"/>
                      <w:color w:val="auto"/>
                      <w:sz w:val="21"/>
                      <w:szCs w:val="21"/>
                    </w:rPr>
                    <w:t>2.59E+14</w:t>
                  </w:r>
                </w:p>
              </w:tc>
              <w:tc>
                <w:tcPr>
                  <w:tcW w:w="686" w:type="pct"/>
                  <w:vAlign w:val="center"/>
                </w:tcPr>
                <w:p>
                  <w:pPr>
                    <w:adjustRightInd w:val="0"/>
                    <w:snapToGrid w:val="0"/>
                    <w:jc w:val="center"/>
                    <w:rPr>
                      <w:rFonts w:hint="eastAsia" w:ascii="宋体" w:hAnsi="宋体" w:eastAsia="宋体" w:cs="宋体"/>
                      <w:color w:val="auto"/>
                      <w:sz w:val="21"/>
                      <w:szCs w:val="21"/>
                    </w:rPr>
                  </w:pPr>
                  <w:r>
                    <w:rPr>
                      <w:rFonts w:hint="eastAsia" w:ascii="宋体" w:hAnsi="宋体" w:eastAsia="宋体" w:cs="宋体"/>
                      <w:color w:val="auto"/>
                      <w:sz w:val="21"/>
                      <w:szCs w:val="21"/>
                    </w:rPr>
                    <w:t>Ⅰ类</w:t>
                  </w:r>
                </w:p>
              </w:tc>
              <w:tc>
                <w:tcPr>
                  <w:tcW w:w="951" w:type="pct"/>
                  <w:vAlign w:val="center"/>
                </w:tcPr>
                <w:p>
                  <w:pPr>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陀螺刀治疗室</w:t>
                  </w:r>
                </w:p>
              </w:tc>
              <w:tc>
                <w:tcPr>
                  <w:tcW w:w="788" w:type="pct"/>
                  <w:vAlign w:val="center"/>
                </w:tcPr>
                <w:p>
                  <w:pPr>
                    <w:jc w:val="center"/>
                    <w:rPr>
                      <w:rFonts w:hint="eastAsia" w:ascii="宋体" w:hAnsi="宋体" w:eastAsia="宋体" w:cs="宋体"/>
                      <w:color w:val="auto"/>
                      <w:sz w:val="21"/>
                      <w:szCs w:val="21"/>
                    </w:rPr>
                  </w:pPr>
                  <w:r>
                    <w:rPr>
                      <w:rFonts w:hint="eastAsia" w:ascii="宋体" w:hAnsi="宋体" w:eastAsia="宋体" w:cs="宋体"/>
                      <w:color w:val="auto"/>
                      <w:sz w:val="21"/>
                      <w:szCs w:val="21"/>
                    </w:rPr>
                    <w:t>在用</w:t>
                  </w:r>
                </w:p>
              </w:tc>
            </w:tr>
          </w:tbl>
          <w:p>
            <w:pPr>
              <w:spacing w:line="240" w:lineRule="auto"/>
              <w:jc w:val="both"/>
              <w:rPr>
                <w:rFonts w:hint="eastAsia" w:ascii="宋体" w:hAnsi="宋体" w:eastAsia="宋体" w:cs="宋体"/>
                <w:b/>
                <w:color w:val="0000FF"/>
                <w:sz w:val="21"/>
                <w:szCs w:val="21"/>
                <w:highlight w:val="none"/>
              </w:rPr>
            </w:pPr>
          </w:p>
          <w:p>
            <w:pPr>
              <w:spacing w:line="240" w:lineRule="auto"/>
              <w:ind w:firstLine="0" w:firstLineChars="0"/>
              <w:jc w:val="center"/>
              <w:rPr>
                <w:rFonts w:hint="eastAsia" w:ascii="宋体" w:hAnsi="宋体" w:eastAsia="宋体" w:cs="宋体"/>
                <w:b/>
                <w:color w:val="auto"/>
                <w:sz w:val="21"/>
                <w:szCs w:val="21"/>
                <w:highlight w:val="none"/>
                <w:lang w:val="en-US" w:eastAsia="zh-CN"/>
              </w:rPr>
            </w:pPr>
            <w:r>
              <w:rPr>
                <w:rFonts w:hint="eastAsia" w:ascii="宋体" w:hAnsi="宋体" w:eastAsia="宋体" w:cs="宋体"/>
                <w:b/>
                <w:color w:val="auto"/>
                <w:sz w:val="21"/>
                <w:szCs w:val="21"/>
                <w:highlight w:val="none"/>
                <w:lang w:val="en-US" w:eastAsia="zh-CN"/>
              </w:rPr>
              <w:t>表1-2 原有射线装置一览表</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3"/>
              <w:gridCol w:w="1125"/>
              <w:gridCol w:w="1740"/>
              <w:gridCol w:w="690"/>
              <w:gridCol w:w="1785"/>
              <w:gridCol w:w="810"/>
              <w:gridCol w:w="172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260" w:type="pct"/>
                  <w:noWrap w:val="0"/>
                  <w:vAlign w:val="center"/>
                </w:tcPr>
                <w:p>
                  <w:pPr>
                    <w:adjustRightInd w:val="0"/>
                    <w:snapToGrid w:val="0"/>
                    <w:jc w:val="center"/>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序号</w:t>
                  </w:r>
                </w:p>
              </w:tc>
              <w:tc>
                <w:tcPr>
                  <w:tcW w:w="677" w:type="pct"/>
                  <w:noWrap w:val="0"/>
                  <w:vAlign w:val="center"/>
                </w:tcPr>
                <w:p>
                  <w:pPr>
                    <w:adjustRightInd w:val="0"/>
                    <w:snapToGrid w:val="0"/>
                    <w:jc w:val="center"/>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名称</w:t>
                  </w:r>
                </w:p>
              </w:tc>
              <w:tc>
                <w:tcPr>
                  <w:tcW w:w="1047" w:type="pct"/>
                  <w:noWrap w:val="0"/>
                  <w:vAlign w:val="center"/>
                </w:tcPr>
                <w:p>
                  <w:pPr>
                    <w:adjustRightInd w:val="0"/>
                    <w:snapToGrid w:val="0"/>
                    <w:jc w:val="center"/>
                    <w:rPr>
                      <w:rFonts w:hint="eastAsia" w:ascii="宋体" w:hAnsi="宋体" w:eastAsia="宋体" w:cs="宋体"/>
                      <w:b/>
                      <w:color w:val="auto"/>
                      <w:szCs w:val="21"/>
                      <w:highlight w:val="none"/>
                      <w:lang w:val="en-US" w:eastAsia="zh-CN"/>
                    </w:rPr>
                  </w:pPr>
                  <w:r>
                    <w:rPr>
                      <w:rFonts w:hint="eastAsia" w:ascii="宋体" w:hAnsi="宋体" w:eastAsia="宋体" w:cs="宋体"/>
                      <w:b/>
                      <w:color w:val="auto"/>
                      <w:szCs w:val="21"/>
                      <w:highlight w:val="none"/>
                      <w:lang w:val="en-US" w:eastAsia="zh-CN"/>
                    </w:rPr>
                    <w:t>型号</w:t>
                  </w:r>
                </w:p>
              </w:tc>
              <w:tc>
                <w:tcPr>
                  <w:tcW w:w="415" w:type="pct"/>
                  <w:noWrap w:val="0"/>
                  <w:vAlign w:val="center"/>
                </w:tcPr>
                <w:p>
                  <w:pPr>
                    <w:adjustRightInd w:val="0"/>
                    <w:snapToGrid w:val="0"/>
                    <w:jc w:val="center"/>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类别</w:t>
                  </w:r>
                </w:p>
              </w:tc>
              <w:tc>
                <w:tcPr>
                  <w:tcW w:w="1074" w:type="pct"/>
                  <w:noWrap w:val="0"/>
                  <w:vAlign w:val="center"/>
                </w:tcPr>
                <w:p>
                  <w:pPr>
                    <w:adjustRightInd w:val="0"/>
                    <w:snapToGrid w:val="0"/>
                    <w:jc w:val="center"/>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所在位置</w:t>
                  </w:r>
                </w:p>
              </w:tc>
              <w:tc>
                <w:tcPr>
                  <w:tcW w:w="487" w:type="pct"/>
                  <w:noWrap w:val="0"/>
                  <w:vAlign w:val="center"/>
                </w:tcPr>
                <w:p>
                  <w:pPr>
                    <w:adjustRightInd w:val="0"/>
                    <w:snapToGrid w:val="0"/>
                    <w:jc w:val="center"/>
                    <w:rPr>
                      <w:rFonts w:hint="eastAsia" w:ascii="宋体" w:hAnsi="宋体" w:eastAsia="宋体" w:cs="宋体"/>
                      <w:color w:val="auto"/>
                      <w:szCs w:val="21"/>
                      <w:highlight w:val="none"/>
                    </w:rPr>
                  </w:pPr>
                  <w:r>
                    <w:rPr>
                      <w:rFonts w:hint="eastAsia" w:ascii="宋体" w:hAnsi="宋体" w:eastAsia="宋体" w:cs="宋体"/>
                      <w:b/>
                      <w:color w:val="auto"/>
                      <w:szCs w:val="21"/>
                      <w:highlight w:val="none"/>
                    </w:rPr>
                    <w:t>使用情况</w:t>
                  </w:r>
                </w:p>
              </w:tc>
              <w:tc>
                <w:tcPr>
                  <w:tcW w:w="1035" w:type="pct"/>
                  <w:noWrap w:val="0"/>
                  <w:vAlign w:val="center"/>
                </w:tcPr>
                <w:p>
                  <w:pPr>
                    <w:adjustRightInd w:val="0"/>
                    <w:snapToGrid w:val="0"/>
                    <w:jc w:val="center"/>
                    <w:rPr>
                      <w:rFonts w:hint="eastAsia" w:ascii="宋体" w:hAnsi="宋体" w:eastAsia="宋体" w:cs="宋体"/>
                      <w:b/>
                      <w:color w:val="auto"/>
                      <w:szCs w:val="21"/>
                      <w:highlight w:val="none"/>
                      <w:lang w:val="en-US" w:eastAsia="zh-CN"/>
                    </w:rPr>
                  </w:pPr>
                  <w:r>
                    <w:rPr>
                      <w:rFonts w:hint="eastAsia" w:ascii="宋体" w:hAnsi="宋体" w:eastAsia="宋体" w:cs="宋体"/>
                      <w:b/>
                      <w:color w:val="auto"/>
                      <w:szCs w:val="21"/>
                      <w:highlight w:val="none"/>
                      <w:lang w:val="en-US" w:eastAsia="zh-CN"/>
                    </w:rPr>
                    <w:t>环保手续情况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0" w:hRule="exact"/>
                <w:jc w:val="center"/>
              </w:trPr>
              <w:tc>
                <w:tcPr>
                  <w:tcW w:w="260" w:type="pct"/>
                  <w:noWrap w:val="0"/>
                  <w:vAlign w:val="center"/>
                </w:tcPr>
                <w:p>
                  <w:pPr>
                    <w:adjustRightInd w:val="0"/>
                    <w:snapToGrid w:val="0"/>
                    <w:spacing w:line="240" w:lineRule="auto"/>
                    <w:jc w:val="center"/>
                    <w:rPr>
                      <w:rFonts w:hint="eastAsia" w:ascii="宋体" w:hAnsi="宋体" w:eastAsia="宋体" w:cs="宋体"/>
                      <w:b/>
                      <w:color w:val="auto"/>
                      <w:szCs w:val="21"/>
                      <w:highlight w:val="none"/>
                    </w:rPr>
                  </w:pPr>
                  <w:r>
                    <w:rPr>
                      <w:rFonts w:hint="eastAsia" w:ascii="宋体" w:hAnsi="宋体" w:eastAsia="宋体" w:cs="宋体"/>
                      <w:color w:val="auto"/>
                      <w:szCs w:val="21"/>
                      <w:highlight w:val="none"/>
                    </w:rPr>
                    <w:t>1</w:t>
                  </w:r>
                </w:p>
              </w:tc>
              <w:tc>
                <w:tcPr>
                  <w:tcW w:w="677"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加速器</w:t>
                  </w:r>
                </w:p>
              </w:tc>
              <w:tc>
                <w:tcPr>
                  <w:tcW w:w="1047" w:type="pct"/>
                  <w:noWrap w:val="0"/>
                  <w:vAlign w:val="center"/>
                </w:tcPr>
                <w:p>
                  <w:pPr>
                    <w:adjustRightInd w:val="0"/>
                    <w:snapToGrid w:val="0"/>
                    <w:spacing w:line="240" w:lineRule="auto"/>
                    <w:jc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KB1800</w:t>
                  </w:r>
                </w:p>
              </w:tc>
              <w:tc>
                <w:tcPr>
                  <w:tcW w:w="415" w:type="pct"/>
                  <w:noWrap w:val="0"/>
                  <w:vAlign w:val="center"/>
                </w:tcPr>
                <w:p>
                  <w:pPr>
                    <w:adjustRightInd w:val="0"/>
                    <w:snapToGrid w:val="0"/>
                    <w:spacing w:line="240" w:lineRule="auto"/>
                    <w:jc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Ⅱ</w:t>
                  </w:r>
                </w:p>
              </w:tc>
              <w:tc>
                <w:tcPr>
                  <w:tcW w:w="1074"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加速器室</w:t>
                  </w:r>
                </w:p>
              </w:tc>
              <w:tc>
                <w:tcPr>
                  <w:tcW w:w="487"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已报废</w:t>
                  </w:r>
                </w:p>
              </w:tc>
              <w:tc>
                <w:tcPr>
                  <w:tcW w:w="1035"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黑环函[2010]57号、黑环验[2015]114号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260" w:type="pct"/>
                  <w:noWrap w:val="0"/>
                  <w:vAlign w:val="center"/>
                </w:tcPr>
                <w:p>
                  <w:pPr>
                    <w:adjustRightInd w:val="0"/>
                    <w:snapToGrid w:val="0"/>
                    <w:spacing w:line="240" w:lineRule="auto"/>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Cs w:val="21"/>
                      <w:highlight w:val="none"/>
                    </w:rPr>
                    <w:t>2</w:t>
                  </w:r>
                </w:p>
              </w:tc>
              <w:tc>
                <w:tcPr>
                  <w:tcW w:w="677"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DSA</w:t>
                  </w:r>
                </w:p>
              </w:tc>
              <w:tc>
                <w:tcPr>
                  <w:tcW w:w="1047" w:type="pct"/>
                  <w:noWrap w:val="0"/>
                  <w:vAlign w:val="center"/>
                </w:tcPr>
                <w:p>
                  <w:pPr>
                    <w:adjustRightInd w:val="0"/>
                    <w:snapToGrid w:val="0"/>
                    <w:spacing w:line="240" w:lineRule="auto"/>
                    <w:jc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UNIQFD20</w:t>
                  </w:r>
                </w:p>
              </w:tc>
              <w:tc>
                <w:tcPr>
                  <w:tcW w:w="415" w:type="pct"/>
                  <w:noWrap w:val="0"/>
                  <w:vAlign w:val="center"/>
                </w:tcPr>
                <w:p>
                  <w:pPr>
                    <w:adjustRightInd w:val="0"/>
                    <w:snapToGrid w:val="0"/>
                    <w:spacing w:line="240" w:lineRule="auto"/>
                    <w:jc w:val="center"/>
                    <w:rPr>
                      <w:rFonts w:hint="eastAsia" w:ascii="宋体" w:hAnsi="宋体" w:eastAsia="宋体" w:cs="宋体"/>
                      <w:b w:val="0"/>
                      <w:bCs/>
                      <w:color w:val="auto"/>
                      <w:szCs w:val="21"/>
                      <w:highlight w:val="none"/>
                    </w:rPr>
                  </w:pPr>
                  <w:r>
                    <w:rPr>
                      <w:rFonts w:hint="eastAsia" w:ascii="宋体" w:hAnsi="宋体" w:eastAsia="宋体" w:cs="宋体"/>
                      <w:b w:val="0"/>
                      <w:bCs/>
                      <w:color w:val="auto"/>
                      <w:szCs w:val="21"/>
                      <w:highlight w:val="none"/>
                      <w:lang w:val="en-US" w:eastAsia="zh-CN"/>
                    </w:rPr>
                    <w:t>Ⅱ</w:t>
                  </w:r>
                </w:p>
              </w:tc>
              <w:tc>
                <w:tcPr>
                  <w:tcW w:w="1074"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DSA室（外科楼一楼西侧DSA室）</w:t>
                  </w:r>
                </w:p>
              </w:tc>
              <w:tc>
                <w:tcPr>
                  <w:tcW w:w="487"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在用</w:t>
                  </w:r>
                </w:p>
              </w:tc>
              <w:tc>
                <w:tcPr>
                  <w:tcW w:w="1035"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黑环审[2019]52号、已自主验收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260" w:type="pct"/>
                  <w:noWrap w:val="0"/>
                  <w:vAlign w:val="center"/>
                </w:tcPr>
                <w:p>
                  <w:pPr>
                    <w:adjustRightInd w:val="0"/>
                    <w:snapToGrid w:val="0"/>
                    <w:spacing w:line="240" w:lineRule="auto"/>
                    <w:jc w:val="center"/>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3</w:t>
                  </w:r>
                </w:p>
              </w:tc>
              <w:tc>
                <w:tcPr>
                  <w:tcW w:w="677"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牙片机</w:t>
                  </w:r>
                </w:p>
              </w:tc>
              <w:tc>
                <w:tcPr>
                  <w:tcW w:w="1047" w:type="pct"/>
                  <w:noWrap w:val="0"/>
                  <w:vAlign w:val="center"/>
                </w:tcPr>
                <w:p>
                  <w:pPr>
                    <w:adjustRightInd w:val="0"/>
                    <w:snapToGrid w:val="0"/>
                    <w:spacing w:line="240" w:lineRule="auto"/>
                    <w:jc w:val="center"/>
                    <w:rPr>
                      <w:rFonts w:hint="eastAsia" w:ascii="宋体" w:hAnsi="宋体" w:eastAsia="宋体" w:cs="宋体"/>
                      <w:b w:val="0"/>
                      <w:bCs/>
                      <w:color w:val="auto"/>
                      <w:highlight w:val="none"/>
                      <w:lang w:val="en-US" w:eastAsia="zh-CN"/>
                    </w:rPr>
                  </w:pPr>
                  <w:r>
                    <w:rPr>
                      <w:rFonts w:hint="eastAsia" w:ascii="宋体" w:hAnsi="宋体" w:eastAsia="宋体" w:cs="宋体"/>
                      <w:color w:val="auto"/>
                      <w:highlight w:val="none"/>
                      <w:lang w:val="en-US" w:eastAsia="zh-CN"/>
                    </w:rPr>
                    <w:t>PP3-1</w:t>
                  </w:r>
                </w:p>
              </w:tc>
              <w:tc>
                <w:tcPr>
                  <w:tcW w:w="415" w:type="pct"/>
                  <w:noWrap w:val="0"/>
                  <w:vAlign w:val="center"/>
                </w:tcPr>
                <w:p>
                  <w:pPr>
                    <w:adjustRightInd w:val="0"/>
                    <w:snapToGrid w:val="0"/>
                    <w:spacing w:line="240" w:lineRule="auto"/>
                    <w:jc w:val="center"/>
                    <w:rPr>
                      <w:rFonts w:hint="eastAsia" w:ascii="宋体" w:hAnsi="宋体" w:eastAsia="宋体" w:cs="宋体"/>
                      <w:b w:val="0"/>
                      <w:bCs/>
                      <w:color w:val="auto"/>
                      <w:highlight w:val="none"/>
                      <w:lang w:val="en-US" w:eastAsia="zh-CN"/>
                    </w:rPr>
                  </w:pPr>
                  <w:r>
                    <w:rPr>
                      <w:rFonts w:hint="eastAsia" w:ascii="宋体" w:hAnsi="宋体" w:eastAsia="宋体" w:cs="宋体"/>
                      <w:b w:val="0"/>
                      <w:bCs/>
                      <w:color w:val="auto"/>
                      <w:highlight w:val="none"/>
                      <w:lang w:val="en-US" w:eastAsia="zh-CN"/>
                    </w:rPr>
                    <w:t>Ⅲ</w:t>
                  </w:r>
                </w:p>
              </w:tc>
              <w:tc>
                <w:tcPr>
                  <w:tcW w:w="1074" w:type="pct"/>
                  <w:noWrap w:val="0"/>
                  <w:vAlign w:val="center"/>
                </w:tcPr>
                <w:p>
                  <w:pPr>
                    <w:adjustRightInd w:val="0"/>
                    <w:snapToGrid w:val="0"/>
                    <w:spacing w:line="240" w:lineRule="auto"/>
                    <w:jc w:val="center"/>
                    <w:rPr>
                      <w:rFonts w:hint="eastAsia" w:ascii="宋体" w:hAnsi="宋体" w:eastAsia="宋体" w:cs="宋体"/>
                      <w:b w:val="0"/>
                      <w:bCs/>
                      <w:color w:val="auto"/>
                      <w:highlight w:val="none"/>
                      <w:lang w:val="en-US" w:eastAsia="zh-CN"/>
                    </w:rPr>
                  </w:pPr>
                  <w:r>
                    <w:rPr>
                      <w:rFonts w:hint="eastAsia" w:ascii="宋体" w:hAnsi="宋体" w:eastAsia="宋体" w:cs="宋体"/>
                      <w:color w:val="auto"/>
                      <w:highlight w:val="none"/>
                      <w:lang w:val="en-US" w:eastAsia="zh-CN"/>
                    </w:rPr>
                    <w:t>骨科一层牙片室</w:t>
                  </w:r>
                </w:p>
              </w:tc>
              <w:tc>
                <w:tcPr>
                  <w:tcW w:w="487" w:type="pct"/>
                  <w:noWrap w:val="0"/>
                  <w:vAlign w:val="center"/>
                </w:tcPr>
                <w:p>
                  <w:pPr>
                    <w:adjustRightInd w:val="0"/>
                    <w:snapToGrid w:val="0"/>
                    <w:spacing w:line="240" w:lineRule="auto"/>
                    <w:jc w:val="center"/>
                    <w:rPr>
                      <w:rFonts w:hint="eastAsia" w:ascii="宋体" w:hAnsi="宋体" w:eastAsia="宋体" w:cs="宋体"/>
                      <w:b w:val="0"/>
                      <w:bCs/>
                      <w:color w:val="auto"/>
                      <w:highlight w:val="none"/>
                      <w:lang w:val="en-US" w:eastAsia="zh-CN"/>
                    </w:rPr>
                  </w:pPr>
                  <w:r>
                    <w:rPr>
                      <w:rFonts w:hint="eastAsia" w:ascii="宋体" w:hAnsi="宋体" w:eastAsia="宋体" w:cs="宋体"/>
                      <w:b w:val="0"/>
                      <w:bCs/>
                      <w:color w:val="auto"/>
                      <w:highlight w:val="none"/>
                      <w:lang w:val="en-US" w:eastAsia="zh-CN"/>
                    </w:rPr>
                    <w:t>在用</w:t>
                  </w:r>
                </w:p>
              </w:tc>
              <w:tc>
                <w:tcPr>
                  <w:tcW w:w="1035"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yellow"/>
                      <w:lang w:val="en-US" w:eastAsia="zh-CN"/>
                    </w:rPr>
                  </w:pPr>
                  <w:r>
                    <w:rPr>
                      <w:rFonts w:hint="eastAsia" w:ascii="宋体" w:hAnsi="宋体" w:eastAsia="宋体" w:cs="宋体"/>
                      <w:b w:val="0"/>
                      <w:bCs/>
                      <w:color w:val="auto"/>
                      <w:szCs w:val="21"/>
                      <w:highlight w:val="none"/>
                      <w:lang w:val="en-US" w:eastAsia="zh-CN"/>
                    </w:rPr>
                    <w:t>已登记：202323050200000019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0" w:hRule="exact"/>
                <w:jc w:val="center"/>
              </w:trPr>
              <w:tc>
                <w:tcPr>
                  <w:tcW w:w="260" w:type="pct"/>
                  <w:noWrap w:val="0"/>
                  <w:vAlign w:val="center"/>
                </w:tcPr>
                <w:p>
                  <w:pPr>
                    <w:adjustRightInd w:val="0"/>
                    <w:snapToGrid w:val="0"/>
                    <w:spacing w:line="240" w:lineRule="auto"/>
                    <w:jc w:val="center"/>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4</w:t>
                  </w:r>
                </w:p>
              </w:tc>
              <w:tc>
                <w:tcPr>
                  <w:tcW w:w="677"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口腔全景机</w:t>
                  </w:r>
                </w:p>
              </w:tc>
              <w:tc>
                <w:tcPr>
                  <w:tcW w:w="1047" w:type="pct"/>
                  <w:noWrap w:val="0"/>
                  <w:vAlign w:val="center"/>
                </w:tcPr>
                <w:p>
                  <w:pPr>
                    <w:adjustRightInd w:val="0"/>
                    <w:snapToGrid w:val="0"/>
                    <w:spacing w:line="240" w:lineRule="auto"/>
                    <w:jc w:val="center"/>
                    <w:rPr>
                      <w:rFonts w:hint="eastAsia" w:ascii="宋体" w:hAnsi="宋体" w:eastAsia="宋体" w:cs="宋体"/>
                      <w:b w:val="0"/>
                      <w:bCs/>
                      <w:color w:val="auto"/>
                      <w:highlight w:val="none"/>
                      <w:lang w:val="en-US" w:eastAsia="zh-CN"/>
                    </w:rPr>
                  </w:pPr>
                  <w:r>
                    <w:rPr>
                      <w:rFonts w:hint="eastAsia" w:ascii="宋体" w:hAnsi="宋体" w:eastAsia="宋体" w:cs="宋体"/>
                      <w:b w:val="0"/>
                      <w:bCs/>
                      <w:color w:val="auto"/>
                      <w:highlight w:val="none"/>
                      <w:lang w:val="en-US" w:eastAsia="zh-CN"/>
                    </w:rPr>
                    <w:t>cranex3dx</w:t>
                  </w:r>
                </w:p>
              </w:tc>
              <w:tc>
                <w:tcPr>
                  <w:tcW w:w="415" w:type="pct"/>
                  <w:noWrap w:val="0"/>
                  <w:vAlign w:val="center"/>
                </w:tcPr>
                <w:p>
                  <w:pPr>
                    <w:adjustRightInd w:val="0"/>
                    <w:snapToGrid w:val="0"/>
                    <w:spacing w:line="240" w:lineRule="auto"/>
                    <w:jc w:val="center"/>
                    <w:rPr>
                      <w:rFonts w:hint="eastAsia" w:ascii="宋体" w:hAnsi="宋体" w:eastAsia="宋体" w:cs="宋体"/>
                      <w:b w:val="0"/>
                      <w:bCs/>
                      <w:color w:val="auto"/>
                      <w:highlight w:val="none"/>
                    </w:rPr>
                  </w:pPr>
                  <w:r>
                    <w:rPr>
                      <w:rFonts w:hint="eastAsia" w:ascii="宋体" w:hAnsi="宋体" w:eastAsia="宋体" w:cs="宋体"/>
                      <w:b w:val="0"/>
                      <w:bCs/>
                      <w:color w:val="auto"/>
                      <w:highlight w:val="none"/>
                      <w:lang w:val="en-US" w:eastAsia="zh-CN"/>
                    </w:rPr>
                    <w:t>Ⅲ</w:t>
                  </w:r>
                </w:p>
              </w:tc>
              <w:tc>
                <w:tcPr>
                  <w:tcW w:w="1074" w:type="pct"/>
                  <w:noWrap w:val="0"/>
                  <w:vAlign w:val="center"/>
                </w:tcPr>
                <w:p>
                  <w:pPr>
                    <w:adjustRightInd w:val="0"/>
                    <w:snapToGrid w:val="0"/>
                    <w:spacing w:line="240" w:lineRule="auto"/>
                    <w:jc w:val="center"/>
                    <w:rPr>
                      <w:rFonts w:hint="eastAsia" w:ascii="宋体" w:hAnsi="宋体" w:eastAsia="宋体" w:cs="宋体"/>
                      <w:b w:val="0"/>
                      <w:bCs/>
                      <w:color w:val="auto"/>
                      <w:highlight w:val="none"/>
                      <w:lang w:val="en-US" w:eastAsia="zh-CN"/>
                    </w:rPr>
                  </w:pPr>
                  <w:r>
                    <w:rPr>
                      <w:rFonts w:hint="eastAsia" w:ascii="宋体" w:hAnsi="宋体" w:eastAsia="宋体" w:cs="宋体"/>
                      <w:b w:val="0"/>
                      <w:bCs/>
                      <w:color w:val="auto"/>
                      <w:highlight w:val="none"/>
                      <w:lang w:val="en-US" w:eastAsia="zh-CN"/>
                    </w:rPr>
                    <w:t>摄片二号诊室</w:t>
                  </w:r>
                </w:p>
              </w:tc>
              <w:tc>
                <w:tcPr>
                  <w:tcW w:w="487" w:type="pct"/>
                  <w:noWrap w:val="0"/>
                  <w:vAlign w:val="center"/>
                </w:tcPr>
                <w:p>
                  <w:pPr>
                    <w:adjustRightInd w:val="0"/>
                    <w:snapToGrid w:val="0"/>
                    <w:spacing w:line="240" w:lineRule="auto"/>
                    <w:jc w:val="center"/>
                    <w:rPr>
                      <w:rFonts w:hint="eastAsia" w:ascii="宋体" w:hAnsi="宋体" w:eastAsia="宋体" w:cs="宋体"/>
                      <w:b w:val="0"/>
                      <w:bCs/>
                      <w:color w:val="auto"/>
                      <w:highlight w:val="none"/>
                      <w:lang w:val="en-US" w:eastAsia="zh-CN"/>
                    </w:rPr>
                  </w:pPr>
                  <w:r>
                    <w:rPr>
                      <w:rFonts w:hint="eastAsia" w:ascii="宋体" w:hAnsi="宋体" w:eastAsia="宋体" w:cs="宋体"/>
                      <w:b w:val="0"/>
                      <w:bCs/>
                      <w:color w:val="auto"/>
                      <w:highlight w:val="none"/>
                      <w:lang w:val="en-US" w:eastAsia="zh-CN"/>
                    </w:rPr>
                    <w:t>在用</w:t>
                  </w:r>
                </w:p>
              </w:tc>
              <w:tc>
                <w:tcPr>
                  <w:tcW w:w="1035"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黑环函[2010]57号、黑环验[2015]114号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260" w:type="pct"/>
                  <w:noWrap w:val="0"/>
                  <w:vAlign w:val="center"/>
                </w:tcPr>
                <w:p>
                  <w:pPr>
                    <w:adjustRightInd w:val="0"/>
                    <w:snapToGrid w:val="0"/>
                    <w:spacing w:line="240" w:lineRule="auto"/>
                    <w:jc w:val="center"/>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5</w:t>
                  </w:r>
                </w:p>
              </w:tc>
              <w:tc>
                <w:tcPr>
                  <w:tcW w:w="677"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C型臂</w:t>
                  </w:r>
                </w:p>
              </w:tc>
              <w:tc>
                <w:tcPr>
                  <w:tcW w:w="1047" w:type="pct"/>
                  <w:noWrap w:val="0"/>
                  <w:vAlign w:val="center"/>
                </w:tcPr>
                <w:p>
                  <w:pPr>
                    <w:adjustRightInd w:val="0"/>
                    <w:snapToGrid w:val="0"/>
                    <w:spacing w:line="240" w:lineRule="auto"/>
                    <w:jc w:val="center"/>
                    <w:rPr>
                      <w:rFonts w:hint="eastAsia" w:ascii="宋体" w:hAnsi="宋体" w:eastAsia="宋体" w:cs="宋体"/>
                      <w:b w:val="0"/>
                      <w:bCs/>
                      <w:color w:val="auto"/>
                      <w:highlight w:val="none"/>
                      <w:lang w:val="en-US" w:eastAsia="zh-CN"/>
                    </w:rPr>
                  </w:pPr>
                  <w:r>
                    <w:rPr>
                      <w:rFonts w:hint="eastAsia" w:ascii="宋体" w:hAnsi="宋体" w:eastAsia="宋体" w:cs="宋体"/>
                      <w:b w:val="0"/>
                      <w:bCs/>
                      <w:color w:val="auto"/>
                      <w:highlight w:val="none"/>
                      <w:lang w:val="en-US" w:eastAsia="zh-CN"/>
                    </w:rPr>
                    <w:t>飞利浦AXFD20/10(DSA)</w:t>
                  </w:r>
                </w:p>
              </w:tc>
              <w:tc>
                <w:tcPr>
                  <w:tcW w:w="415" w:type="pct"/>
                  <w:noWrap w:val="0"/>
                  <w:vAlign w:val="center"/>
                </w:tcPr>
                <w:p>
                  <w:pPr>
                    <w:adjustRightInd w:val="0"/>
                    <w:snapToGrid w:val="0"/>
                    <w:spacing w:line="240" w:lineRule="auto"/>
                    <w:jc w:val="center"/>
                    <w:rPr>
                      <w:rFonts w:hint="eastAsia" w:ascii="宋体" w:hAnsi="宋体" w:eastAsia="宋体" w:cs="宋体"/>
                      <w:b w:val="0"/>
                      <w:bCs/>
                      <w:color w:val="auto"/>
                      <w:highlight w:val="none"/>
                    </w:rPr>
                  </w:pPr>
                  <w:r>
                    <w:rPr>
                      <w:rFonts w:hint="eastAsia" w:ascii="宋体" w:hAnsi="宋体" w:eastAsia="宋体" w:cs="宋体"/>
                      <w:b w:val="0"/>
                      <w:bCs/>
                      <w:color w:val="auto"/>
                      <w:szCs w:val="21"/>
                      <w:highlight w:val="none"/>
                      <w:lang w:val="en-US" w:eastAsia="zh-CN"/>
                    </w:rPr>
                    <w:t>Ⅱ</w:t>
                  </w:r>
                </w:p>
              </w:tc>
              <w:tc>
                <w:tcPr>
                  <w:tcW w:w="1074"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介入导管室</w:t>
                  </w:r>
                </w:p>
              </w:tc>
              <w:tc>
                <w:tcPr>
                  <w:tcW w:w="487"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在用</w:t>
                  </w:r>
                </w:p>
              </w:tc>
              <w:tc>
                <w:tcPr>
                  <w:tcW w:w="1035"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黑环审[2019]52号、已自主验收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260" w:type="pct"/>
                  <w:noWrap w:val="0"/>
                  <w:vAlign w:val="center"/>
                </w:tcPr>
                <w:p>
                  <w:pPr>
                    <w:adjustRightInd w:val="0"/>
                    <w:snapToGrid w:val="0"/>
                    <w:spacing w:line="240" w:lineRule="auto"/>
                    <w:jc w:val="center"/>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6</w:t>
                  </w:r>
                </w:p>
              </w:tc>
              <w:tc>
                <w:tcPr>
                  <w:tcW w:w="677"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16CT机</w:t>
                  </w:r>
                </w:p>
              </w:tc>
              <w:tc>
                <w:tcPr>
                  <w:tcW w:w="1047" w:type="pct"/>
                  <w:noWrap w:val="0"/>
                  <w:vAlign w:val="center"/>
                </w:tcPr>
                <w:p>
                  <w:pPr>
                    <w:adjustRightInd w:val="0"/>
                    <w:snapToGrid w:val="0"/>
                    <w:spacing w:line="240" w:lineRule="auto"/>
                    <w:jc w:val="center"/>
                    <w:rPr>
                      <w:rFonts w:hint="eastAsia" w:ascii="宋体" w:hAnsi="宋体" w:eastAsia="宋体" w:cs="宋体"/>
                      <w:b w:val="0"/>
                      <w:bCs/>
                      <w:color w:val="auto"/>
                      <w:highlight w:val="none"/>
                      <w:lang w:val="en-US" w:eastAsia="zh-CN"/>
                    </w:rPr>
                  </w:pPr>
                  <w:r>
                    <w:rPr>
                      <w:rFonts w:hint="eastAsia" w:ascii="宋体" w:hAnsi="宋体" w:eastAsia="宋体" w:cs="宋体"/>
                      <w:b w:val="0"/>
                      <w:bCs/>
                      <w:color w:val="auto"/>
                      <w:highlight w:val="none"/>
                      <w:lang w:val="en-US" w:eastAsia="zh-CN"/>
                    </w:rPr>
                    <w:t>BRIGHT SPEED</w:t>
                  </w:r>
                </w:p>
              </w:tc>
              <w:tc>
                <w:tcPr>
                  <w:tcW w:w="415" w:type="pct"/>
                  <w:noWrap w:val="0"/>
                  <w:vAlign w:val="center"/>
                </w:tcPr>
                <w:p>
                  <w:pPr>
                    <w:adjustRightInd w:val="0"/>
                    <w:snapToGrid w:val="0"/>
                    <w:spacing w:line="240" w:lineRule="auto"/>
                    <w:jc w:val="center"/>
                    <w:rPr>
                      <w:rFonts w:hint="eastAsia" w:ascii="宋体" w:hAnsi="宋体" w:eastAsia="宋体" w:cs="宋体"/>
                      <w:b w:val="0"/>
                      <w:bCs/>
                      <w:color w:val="auto"/>
                      <w:highlight w:val="none"/>
                    </w:rPr>
                  </w:pPr>
                  <w:r>
                    <w:rPr>
                      <w:rFonts w:hint="eastAsia" w:ascii="宋体" w:hAnsi="宋体" w:eastAsia="宋体" w:cs="宋体"/>
                      <w:b w:val="0"/>
                      <w:bCs/>
                      <w:color w:val="auto"/>
                      <w:highlight w:val="none"/>
                      <w:lang w:val="en-US" w:eastAsia="zh-CN"/>
                    </w:rPr>
                    <w:t>Ⅲ</w:t>
                  </w:r>
                </w:p>
              </w:tc>
              <w:tc>
                <w:tcPr>
                  <w:tcW w:w="1074"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CT/MR部一部（16排CT）</w:t>
                  </w:r>
                </w:p>
              </w:tc>
              <w:tc>
                <w:tcPr>
                  <w:tcW w:w="487"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报废</w:t>
                  </w:r>
                </w:p>
              </w:tc>
              <w:tc>
                <w:tcPr>
                  <w:tcW w:w="1035"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0" w:hRule="exact"/>
                <w:jc w:val="center"/>
              </w:trPr>
              <w:tc>
                <w:tcPr>
                  <w:tcW w:w="260" w:type="pct"/>
                  <w:noWrap w:val="0"/>
                  <w:vAlign w:val="center"/>
                </w:tcPr>
                <w:p>
                  <w:pPr>
                    <w:adjustRightInd w:val="0"/>
                    <w:snapToGrid w:val="0"/>
                    <w:spacing w:line="240" w:lineRule="auto"/>
                    <w:jc w:val="center"/>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7</w:t>
                  </w:r>
                </w:p>
              </w:tc>
              <w:tc>
                <w:tcPr>
                  <w:tcW w:w="677"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CT</w:t>
                  </w:r>
                </w:p>
              </w:tc>
              <w:tc>
                <w:tcPr>
                  <w:tcW w:w="1047" w:type="pct"/>
                  <w:noWrap w:val="0"/>
                  <w:vAlign w:val="center"/>
                </w:tcPr>
                <w:p>
                  <w:pPr>
                    <w:adjustRightInd w:val="0"/>
                    <w:snapToGrid w:val="0"/>
                    <w:spacing w:line="240" w:lineRule="auto"/>
                    <w:jc w:val="center"/>
                    <w:rPr>
                      <w:rFonts w:hint="eastAsia" w:ascii="宋体" w:hAnsi="宋体" w:eastAsia="宋体" w:cs="宋体"/>
                      <w:b w:val="0"/>
                      <w:bCs/>
                      <w:color w:val="auto"/>
                      <w:highlight w:val="none"/>
                      <w:lang w:val="en-US" w:eastAsia="zh-CN"/>
                    </w:rPr>
                  </w:pPr>
                  <w:r>
                    <w:rPr>
                      <w:rFonts w:hint="eastAsia" w:ascii="宋体" w:hAnsi="宋体" w:eastAsia="宋体" w:cs="宋体"/>
                      <w:b w:val="0"/>
                      <w:bCs/>
                      <w:color w:val="auto"/>
                      <w:highlight w:val="none"/>
                      <w:lang w:val="en-US" w:eastAsia="zh-CN"/>
                    </w:rPr>
                    <w:t>256层</w:t>
                  </w:r>
                </w:p>
              </w:tc>
              <w:tc>
                <w:tcPr>
                  <w:tcW w:w="415" w:type="pct"/>
                  <w:noWrap w:val="0"/>
                  <w:vAlign w:val="center"/>
                </w:tcPr>
                <w:p>
                  <w:pPr>
                    <w:adjustRightInd w:val="0"/>
                    <w:snapToGrid w:val="0"/>
                    <w:spacing w:line="240" w:lineRule="auto"/>
                    <w:jc w:val="center"/>
                    <w:rPr>
                      <w:rFonts w:hint="eastAsia" w:ascii="宋体" w:hAnsi="宋体" w:eastAsia="宋体" w:cs="宋体"/>
                      <w:b w:val="0"/>
                      <w:bCs/>
                      <w:color w:val="auto"/>
                      <w:highlight w:val="none"/>
                    </w:rPr>
                  </w:pPr>
                  <w:r>
                    <w:rPr>
                      <w:rFonts w:hint="eastAsia" w:ascii="宋体" w:hAnsi="宋体" w:eastAsia="宋体" w:cs="宋体"/>
                      <w:b w:val="0"/>
                      <w:bCs/>
                      <w:color w:val="auto"/>
                      <w:highlight w:val="none"/>
                      <w:lang w:val="en-US" w:eastAsia="zh-CN"/>
                    </w:rPr>
                    <w:t>Ⅲ</w:t>
                  </w:r>
                </w:p>
              </w:tc>
              <w:tc>
                <w:tcPr>
                  <w:tcW w:w="1074"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CT/MR部一部（256排CT）</w:t>
                  </w:r>
                </w:p>
              </w:tc>
              <w:tc>
                <w:tcPr>
                  <w:tcW w:w="487"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在用</w:t>
                  </w:r>
                </w:p>
              </w:tc>
              <w:tc>
                <w:tcPr>
                  <w:tcW w:w="1035"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黑环函[2010]57号、黑环验[2015]114号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0" w:hRule="exact"/>
                <w:jc w:val="center"/>
              </w:trPr>
              <w:tc>
                <w:tcPr>
                  <w:tcW w:w="260" w:type="pct"/>
                  <w:noWrap w:val="0"/>
                  <w:vAlign w:val="center"/>
                </w:tcPr>
                <w:p>
                  <w:pPr>
                    <w:adjustRightInd w:val="0"/>
                    <w:snapToGrid w:val="0"/>
                    <w:spacing w:line="240" w:lineRule="auto"/>
                    <w:jc w:val="center"/>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8</w:t>
                  </w:r>
                </w:p>
              </w:tc>
              <w:tc>
                <w:tcPr>
                  <w:tcW w:w="677"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64排CT</w:t>
                  </w:r>
                </w:p>
              </w:tc>
              <w:tc>
                <w:tcPr>
                  <w:tcW w:w="1047" w:type="pct"/>
                  <w:noWrap w:val="0"/>
                  <w:vAlign w:val="center"/>
                </w:tcPr>
                <w:p>
                  <w:pPr>
                    <w:adjustRightInd w:val="0"/>
                    <w:snapToGrid w:val="0"/>
                    <w:spacing w:line="240" w:lineRule="auto"/>
                    <w:jc w:val="center"/>
                    <w:rPr>
                      <w:rFonts w:hint="eastAsia" w:ascii="宋体" w:hAnsi="宋体" w:eastAsia="宋体" w:cs="宋体"/>
                      <w:b w:val="0"/>
                      <w:bCs/>
                      <w:color w:val="auto"/>
                      <w:highlight w:val="none"/>
                      <w:lang w:val="en-US" w:eastAsia="zh-CN"/>
                    </w:rPr>
                  </w:pPr>
                  <w:r>
                    <w:rPr>
                      <w:rFonts w:hint="eastAsia" w:ascii="宋体" w:hAnsi="宋体" w:eastAsia="宋体" w:cs="宋体"/>
                      <w:b w:val="0"/>
                      <w:bCs/>
                      <w:color w:val="auto"/>
                      <w:highlight w:val="none"/>
                      <w:lang w:val="en-US" w:eastAsia="zh-CN"/>
                    </w:rPr>
                    <w:t>LIGHTSPEEDVCT</w:t>
                  </w:r>
                </w:p>
              </w:tc>
              <w:tc>
                <w:tcPr>
                  <w:tcW w:w="415" w:type="pct"/>
                  <w:noWrap w:val="0"/>
                  <w:vAlign w:val="center"/>
                </w:tcPr>
                <w:p>
                  <w:pPr>
                    <w:adjustRightInd w:val="0"/>
                    <w:snapToGrid w:val="0"/>
                    <w:spacing w:line="240" w:lineRule="auto"/>
                    <w:jc w:val="center"/>
                    <w:rPr>
                      <w:rFonts w:hint="eastAsia" w:ascii="宋体" w:hAnsi="宋体" w:eastAsia="宋体" w:cs="宋体"/>
                      <w:b w:val="0"/>
                      <w:bCs/>
                      <w:color w:val="auto"/>
                      <w:highlight w:val="none"/>
                    </w:rPr>
                  </w:pPr>
                  <w:r>
                    <w:rPr>
                      <w:rFonts w:hint="eastAsia" w:ascii="宋体" w:hAnsi="宋体" w:eastAsia="宋体" w:cs="宋体"/>
                      <w:b w:val="0"/>
                      <w:bCs/>
                      <w:color w:val="auto"/>
                      <w:highlight w:val="none"/>
                      <w:lang w:val="en-US" w:eastAsia="zh-CN"/>
                    </w:rPr>
                    <w:t>Ⅲ</w:t>
                  </w:r>
                </w:p>
              </w:tc>
              <w:tc>
                <w:tcPr>
                  <w:tcW w:w="1074"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CT/MR部一部（64排CT）</w:t>
                  </w:r>
                </w:p>
              </w:tc>
              <w:tc>
                <w:tcPr>
                  <w:tcW w:w="487"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在用</w:t>
                  </w:r>
                </w:p>
              </w:tc>
              <w:tc>
                <w:tcPr>
                  <w:tcW w:w="1035"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黑环函[2010]57号、黑环验[2015]114号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0" w:hRule="exact"/>
                <w:jc w:val="center"/>
              </w:trPr>
              <w:tc>
                <w:tcPr>
                  <w:tcW w:w="260" w:type="pct"/>
                  <w:noWrap w:val="0"/>
                  <w:vAlign w:val="center"/>
                </w:tcPr>
                <w:p>
                  <w:pPr>
                    <w:adjustRightInd w:val="0"/>
                    <w:snapToGrid w:val="0"/>
                    <w:spacing w:line="240" w:lineRule="auto"/>
                    <w:jc w:val="center"/>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9</w:t>
                  </w:r>
                </w:p>
              </w:tc>
              <w:tc>
                <w:tcPr>
                  <w:tcW w:w="677"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床旁摄片机</w:t>
                  </w:r>
                </w:p>
              </w:tc>
              <w:tc>
                <w:tcPr>
                  <w:tcW w:w="1047" w:type="pct"/>
                  <w:noWrap w:val="0"/>
                  <w:vAlign w:val="center"/>
                </w:tcPr>
                <w:p>
                  <w:pPr>
                    <w:adjustRightInd w:val="0"/>
                    <w:snapToGrid w:val="0"/>
                    <w:spacing w:line="240" w:lineRule="auto"/>
                    <w:jc w:val="center"/>
                    <w:rPr>
                      <w:rFonts w:hint="eastAsia" w:ascii="宋体" w:hAnsi="宋体" w:eastAsia="宋体" w:cs="宋体"/>
                      <w:b w:val="0"/>
                      <w:bCs/>
                      <w:color w:val="auto"/>
                      <w:highlight w:val="none"/>
                      <w:lang w:val="en-US" w:eastAsia="zh-CN"/>
                    </w:rPr>
                  </w:pPr>
                  <w:r>
                    <w:rPr>
                      <w:rFonts w:hint="eastAsia" w:ascii="宋体" w:hAnsi="宋体" w:eastAsia="宋体" w:cs="宋体"/>
                      <w:b w:val="0"/>
                      <w:bCs/>
                      <w:color w:val="auto"/>
                      <w:highlight w:val="none"/>
                      <w:lang w:val="en-US" w:eastAsia="zh-CN"/>
                    </w:rPr>
                    <w:t>YZ021-2</w:t>
                  </w:r>
                </w:p>
              </w:tc>
              <w:tc>
                <w:tcPr>
                  <w:tcW w:w="415" w:type="pct"/>
                  <w:noWrap w:val="0"/>
                  <w:vAlign w:val="center"/>
                </w:tcPr>
                <w:p>
                  <w:pPr>
                    <w:adjustRightInd w:val="0"/>
                    <w:snapToGrid w:val="0"/>
                    <w:spacing w:line="240" w:lineRule="auto"/>
                    <w:jc w:val="center"/>
                    <w:rPr>
                      <w:rFonts w:hint="eastAsia" w:ascii="宋体" w:hAnsi="宋体" w:eastAsia="宋体" w:cs="宋体"/>
                      <w:b w:val="0"/>
                      <w:bCs/>
                      <w:color w:val="auto"/>
                      <w:highlight w:val="none"/>
                    </w:rPr>
                  </w:pPr>
                  <w:r>
                    <w:rPr>
                      <w:rFonts w:hint="eastAsia" w:ascii="宋体" w:hAnsi="宋体" w:eastAsia="宋体" w:cs="宋体"/>
                      <w:b w:val="0"/>
                      <w:bCs/>
                      <w:color w:val="auto"/>
                      <w:highlight w:val="none"/>
                      <w:lang w:val="en-US" w:eastAsia="zh-CN"/>
                    </w:rPr>
                    <w:t>Ⅲ</w:t>
                  </w:r>
                </w:p>
              </w:tc>
              <w:tc>
                <w:tcPr>
                  <w:tcW w:w="1074"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床旁X光机</w:t>
                  </w:r>
                </w:p>
              </w:tc>
              <w:tc>
                <w:tcPr>
                  <w:tcW w:w="487"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在用</w:t>
                  </w:r>
                </w:p>
              </w:tc>
              <w:tc>
                <w:tcPr>
                  <w:tcW w:w="1035"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黑环函[2010]57号、黑环验[2015]114号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260" w:type="pct"/>
                  <w:noWrap w:val="0"/>
                  <w:vAlign w:val="center"/>
                </w:tcPr>
                <w:p>
                  <w:pPr>
                    <w:adjustRightInd w:val="0"/>
                    <w:snapToGrid w:val="0"/>
                    <w:spacing w:line="240" w:lineRule="auto"/>
                    <w:jc w:val="center"/>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10</w:t>
                  </w:r>
                </w:p>
              </w:tc>
              <w:tc>
                <w:tcPr>
                  <w:tcW w:w="677"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DR图像处理系统</w:t>
                  </w:r>
                </w:p>
              </w:tc>
              <w:tc>
                <w:tcPr>
                  <w:tcW w:w="1047" w:type="pct"/>
                  <w:noWrap w:val="0"/>
                  <w:vAlign w:val="center"/>
                </w:tcPr>
                <w:p>
                  <w:pPr>
                    <w:adjustRightInd w:val="0"/>
                    <w:snapToGrid w:val="0"/>
                    <w:spacing w:line="240" w:lineRule="auto"/>
                    <w:jc w:val="center"/>
                    <w:rPr>
                      <w:rFonts w:hint="eastAsia" w:ascii="宋体" w:hAnsi="宋体" w:eastAsia="宋体" w:cs="宋体"/>
                      <w:b w:val="0"/>
                      <w:bCs/>
                      <w:color w:val="auto"/>
                      <w:highlight w:val="none"/>
                      <w:lang w:val="en-US" w:eastAsia="zh-CN"/>
                    </w:rPr>
                  </w:pPr>
                  <w:r>
                    <w:rPr>
                      <w:rFonts w:hint="eastAsia" w:ascii="宋体" w:hAnsi="宋体" w:eastAsia="宋体" w:cs="宋体"/>
                      <w:b w:val="0"/>
                      <w:bCs/>
                      <w:color w:val="auto"/>
                      <w:highlight w:val="none"/>
                      <w:lang w:val="en-US" w:eastAsia="zh-CN"/>
                    </w:rPr>
                    <w:t>KODAKDR3500</w:t>
                  </w:r>
                </w:p>
              </w:tc>
              <w:tc>
                <w:tcPr>
                  <w:tcW w:w="415" w:type="pct"/>
                  <w:noWrap w:val="0"/>
                  <w:vAlign w:val="center"/>
                </w:tcPr>
                <w:p>
                  <w:pPr>
                    <w:adjustRightInd w:val="0"/>
                    <w:snapToGrid w:val="0"/>
                    <w:spacing w:line="240" w:lineRule="auto"/>
                    <w:jc w:val="center"/>
                    <w:rPr>
                      <w:rFonts w:hint="eastAsia" w:ascii="宋体" w:hAnsi="宋体" w:eastAsia="宋体" w:cs="宋体"/>
                      <w:b w:val="0"/>
                      <w:bCs/>
                      <w:color w:val="auto"/>
                      <w:highlight w:val="none"/>
                    </w:rPr>
                  </w:pPr>
                  <w:r>
                    <w:rPr>
                      <w:rFonts w:hint="eastAsia" w:ascii="宋体" w:hAnsi="宋体" w:eastAsia="宋体" w:cs="宋体"/>
                      <w:b w:val="0"/>
                      <w:bCs/>
                      <w:color w:val="auto"/>
                      <w:highlight w:val="none"/>
                      <w:lang w:val="en-US" w:eastAsia="zh-CN"/>
                    </w:rPr>
                    <w:t>Ⅲ</w:t>
                  </w:r>
                </w:p>
              </w:tc>
              <w:tc>
                <w:tcPr>
                  <w:tcW w:w="1074"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color w:val="auto"/>
                      <w:highlight w:val="none"/>
                      <w:lang w:val="en-US" w:eastAsia="zh-CN"/>
                    </w:rPr>
                    <w:t>骨科1层DR室</w:t>
                  </w:r>
                </w:p>
              </w:tc>
              <w:tc>
                <w:tcPr>
                  <w:tcW w:w="487"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在用</w:t>
                  </w:r>
                </w:p>
              </w:tc>
              <w:tc>
                <w:tcPr>
                  <w:tcW w:w="1035"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已登记：202323050200000020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260" w:type="pct"/>
                  <w:noWrap w:val="0"/>
                  <w:vAlign w:val="center"/>
                </w:tcPr>
                <w:p>
                  <w:pPr>
                    <w:adjustRightInd w:val="0"/>
                    <w:snapToGrid w:val="0"/>
                    <w:spacing w:line="240" w:lineRule="auto"/>
                    <w:jc w:val="center"/>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11</w:t>
                  </w:r>
                </w:p>
              </w:tc>
              <w:tc>
                <w:tcPr>
                  <w:tcW w:w="677"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乳腺X光机</w:t>
                  </w:r>
                </w:p>
              </w:tc>
              <w:tc>
                <w:tcPr>
                  <w:tcW w:w="1047" w:type="pct"/>
                  <w:noWrap w:val="0"/>
                  <w:vAlign w:val="center"/>
                </w:tcPr>
                <w:p>
                  <w:pPr>
                    <w:adjustRightInd w:val="0"/>
                    <w:snapToGrid w:val="0"/>
                    <w:spacing w:line="240" w:lineRule="auto"/>
                    <w:jc w:val="center"/>
                    <w:rPr>
                      <w:rFonts w:hint="eastAsia" w:ascii="宋体" w:hAnsi="宋体" w:eastAsia="宋体" w:cs="宋体"/>
                      <w:b w:val="0"/>
                      <w:bCs/>
                      <w:color w:val="auto"/>
                      <w:highlight w:val="none"/>
                      <w:lang w:val="en-US" w:eastAsia="zh-CN"/>
                    </w:rPr>
                  </w:pPr>
                  <w:r>
                    <w:rPr>
                      <w:rFonts w:hint="eastAsia" w:ascii="宋体" w:hAnsi="宋体" w:eastAsia="宋体" w:cs="宋体"/>
                      <w:b w:val="0"/>
                      <w:bCs/>
                      <w:color w:val="auto"/>
                      <w:highlight w:val="none"/>
                      <w:lang w:val="en-US" w:eastAsia="zh-CN"/>
                    </w:rPr>
                    <w:t>普兰梅德</w:t>
                  </w:r>
                </w:p>
              </w:tc>
              <w:tc>
                <w:tcPr>
                  <w:tcW w:w="415" w:type="pct"/>
                  <w:noWrap w:val="0"/>
                  <w:vAlign w:val="center"/>
                </w:tcPr>
                <w:p>
                  <w:pPr>
                    <w:adjustRightInd w:val="0"/>
                    <w:snapToGrid w:val="0"/>
                    <w:spacing w:line="240" w:lineRule="auto"/>
                    <w:jc w:val="center"/>
                    <w:rPr>
                      <w:rFonts w:hint="eastAsia" w:ascii="宋体" w:hAnsi="宋体" w:eastAsia="宋体" w:cs="宋体"/>
                      <w:b w:val="0"/>
                      <w:bCs/>
                      <w:color w:val="auto"/>
                      <w:highlight w:val="none"/>
                    </w:rPr>
                  </w:pPr>
                  <w:r>
                    <w:rPr>
                      <w:rFonts w:hint="eastAsia" w:ascii="宋体" w:hAnsi="宋体" w:eastAsia="宋体" w:cs="宋体"/>
                      <w:b w:val="0"/>
                      <w:bCs/>
                      <w:color w:val="auto"/>
                      <w:highlight w:val="none"/>
                      <w:lang w:val="en-US" w:eastAsia="zh-CN"/>
                    </w:rPr>
                    <w:t>Ⅲ</w:t>
                  </w:r>
                </w:p>
              </w:tc>
              <w:tc>
                <w:tcPr>
                  <w:tcW w:w="1074"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color w:val="auto"/>
                      <w:highlight w:val="none"/>
                      <w:lang w:val="en-US" w:eastAsia="zh-CN"/>
                    </w:rPr>
                    <w:t>骨科1层乳腺钼靶室</w:t>
                  </w:r>
                </w:p>
              </w:tc>
              <w:tc>
                <w:tcPr>
                  <w:tcW w:w="487"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在用</w:t>
                  </w:r>
                </w:p>
              </w:tc>
              <w:tc>
                <w:tcPr>
                  <w:tcW w:w="1035"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已登记：202323050200000019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0" w:hRule="exact"/>
                <w:jc w:val="center"/>
              </w:trPr>
              <w:tc>
                <w:tcPr>
                  <w:tcW w:w="260" w:type="pct"/>
                  <w:noWrap w:val="0"/>
                  <w:vAlign w:val="center"/>
                </w:tcPr>
                <w:p>
                  <w:pPr>
                    <w:adjustRightInd w:val="0"/>
                    <w:snapToGrid w:val="0"/>
                    <w:spacing w:line="240" w:lineRule="auto"/>
                    <w:jc w:val="center"/>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12</w:t>
                  </w:r>
                </w:p>
              </w:tc>
              <w:tc>
                <w:tcPr>
                  <w:tcW w:w="677"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DR</w:t>
                  </w:r>
                </w:p>
              </w:tc>
              <w:tc>
                <w:tcPr>
                  <w:tcW w:w="1047" w:type="pct"/>
                  <w:noWrap w:val="0"/>
                  <w:vAlign w:val="center"/>
                </w:tcPr>
                <w:p>
                  <w:pPr>
                    <w:adjustRightInd w:val="0"/>
                    <w:snapToGrid w:val="0"/>
                    <w:spacing w:line="240" w:lineRule="auto"/>
                    <w:jc w:val="center"/>
                    <w:rPr>
                      <w:rFonts w:hint="eastAsia" w:ascii="宋体" w:hAnsi="宋体" w:eastAsia="宋体" w:cs="宋体"/>
                      <w:b w:val="0"/>
                      <w:bCs/>
                      <w:color w:val="auto"/>
                      <w:highlight w:val="none"/>
                      <w:lang w:val="en-US" w:eastAsia="zh-CN"/>
                    </w:rPr>
                  </w:pPr>
                  <w:r>
                    <w:rPr>
                      <w:rFonts w:hint="eastAsia" w:ascii="宋体" w:hAnsi="宋体" w:eastAsia="宋体" w:cs="宋体"/>
                      <w:b w:val="0"/>
                      <w:bCs/>
                      <w:color w:val="auto"/>
                      <w:highlight w:val="none"/>
                      <w:lang w:val="en-US" w:eastAsia="zh-CN"/>
                    </w:rPr>
                    <w:t>DR7500</w:t>
                  </w:r>
                </w:p>
              </w:tc>
              <w:tc>
                <w:tcPr>
                  <w:tcW w:w="415" w:type="pct"/>
                  <w:noWrap w:val="0"/>
                  <w:vAlign w:val="center"/>
                </w:tcPr>
                <w:p>
                  <w:pPr>
                    <w:adjustRightInd w:val="0"/>
                    <w:snapToGrid w:val="0"/>
                    <w:spacing w:line="240" w:lineRule="auto"/>
                    <w:jc w:val="center"/>
                    <w:rPr>
                      <w:rFonts w:hint="eastAsia" w:ascii="宋体" w:hAnsi="宋体" w:eastAsia="宋体" w:cs="宋体"/>
                      <w:b w:val="0"/>
                      <w:bCs/>
                      <w:color w:val="auto"/>
                      <w:highlight w:val="none"/>
                    </w:rPr>
                  </w:pPr>
                  <w:r>
                    <w:rPr>
                      <w:rFonts w:hint="eastAsia" w:ascii="宋体" w:hAnsi="宋体" w:eastAsia="宋体" w:cs="宋体"/>
                      <w:b w:val="0"/>
                      <w:bCs/>
                      <w:color w:val="auto"/>
                      <w:highlight w:val="none"/>
                      <w:lang w:val="en-US" w:eastAsia="zh-CN"/>
                    </w:rPr>
                    <w:t>Ⅲ</w:t>
                  </w:r>
                </w:p>
              </w:tc>
              <w:tc>
                <w:tcPr>
                  <w:tcW w:w="1074"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摄片四号诊室</w:t>
                  </w:r>
                </w:p>
              </w:tc>
              <w:tc>
                <w:tcPr>
                  <w:tcW w:w="487"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停用</w:t>
                  </w:r>
                </w:p>
              </w:tc>
              <w:tc>
                <w:tcPr>
                  <w:tcW w:w="1035"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黑环函[2010]57号、黑环验[2015]114号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0" w:hRule="exact"/>
                <w:jc w:val="center"/>
              </w:trPr>
              <w:tc>
                <w:tcPr>
                  <w:tcW w:w="260" w:type="pct"/>
                  <w:noWrap w:val="0"/>
                  <w:vAlign w:val="center"/>
                </w:tcPr>
                <w:p>
                  <w:pPr>
                    <w:adjustRightInd w:val="0"/>
                    <w:snapToGrid w:val="0"/>
                    <w:spacing w:line="240" w:lineRule="auto"/>
                    <w:jc w:val="center"/>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13</w:t>
                  </w:r>
                </w:p>
              </w:tc>
              <w:tc>
                <w:tcPr>
                  <w:tcW w:w="677"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DR</w:t>
                  </w:r>
                </w:p>
              </w:tc>
              <w:tc>
                <w:tcPr>
                  <w:tcW w:w="1047" w:type="pct"/>
                  <w:noWrap w:val="0"/>
                  <w:vAlign w:val="center"/>
                </w:tcPr>
                <w:p>
                  <w:pPr>
                    <w:adjustRightInd w:val="0"/>
                    <w:snapToGrid w:val="0"/>
                    <w:spacing w:line="240" w:lineRule="auto"/>
                    <w:jc w:val="center"/>
                    <w:rPr>
                      <w:rFonts w:hint="eastAsia" w:ascii="宋体" w:hAnsi="宋体" w:eastAsia="宋体" w:cs="宋体"/>
                      <w:b w:val="0"/>
                      <w:bCs/>
                      <w:color w:val="auto"/>
                      <w:highlight w:val="none"/>
                      <w:lang w:val="en-US" w:eastAsia="zh-CN"/>
                    </w:rPr>
                  </w:pPr>
                  <w:r>
                    <w:rPr>
                      <w:rFonts w:hint="eastAsia" w:ascii="宋体" w:hAnsi="宋体" w:eastAsia="宋体" w:cs="宋体"/>
                      <w:b w:val="0"/>
                      <w:bCs/>
                      <w:color w:val="auto"/>
                      <w:highlight w:val="none"/>
                      <w:lang w:val="en-US" w:eastAsia="zh-CN"/>
                    </w:rPr>
                    <w:t>悬吊</w:t>
                  </w:r>
                </w:p>
              </w:tc>
              <w:tc>
                <w:tcPr>
                  <w:tcW w:w="415" w:type="pct"/>
                  <w:noWrap w:val="0"/>
                  <w:vAlign w:val="center"/>
                </w:tcPr>
                <w:p>
                  <w:pPr>
                    <w:adjustRightInd w:val="0"/>
                    <w:snapToGrid w:val="0"/>
                    <w:spacing w:line="240" w:lineRule="auto"/>
                    <w:jc w:val="center"/>
                    <w:rPr>
                      <w:rFonts w:hint="eastAsia" w:ascii="宋体" w:hAnsi="宋体" w:eastAsia="宋体" w:cs="宋体"/>
                      <w:b w:val="0"/>
                      <w:bCs/>
                      <w:color w:val="auto"/>
                      <w:highlight w:val="none"/>
                      <w:lang w:val="en-US"/>
                    </w:rPr>
                  </w:pPr>
                  <w:r>
                    <w:rPr>
                      <w:rFonts w:hint="eastAsia" w:ascii="宋体" w:hAnsi="宋体" w:eastAsia="宋体" w:cs="宋体"/>
                      <w:b w:val="0"/>
                      <w:bCs/>
                      <w:color w:val="auto"/>
                      <w:highlight w:val="none"/>
                      <w:lang w:val="en-US" w:eastAsia="zh-CN"/>
                    </w:rPr>
                    <w:t>Ⅲ</w:t>
                  </w:r>
                </w:p>
              </w:tc>
              <w:tc>
                <w:tcPr>
                  <w:tcW w:w="1074"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highlight w:val="none"/>
                      <w:lang w:val="en-US" w:eastAsia="zh-CN"/>
                    </w:rPr>
                    <w:t>摄片一号诊室</w:t>
                  </w:r>
                </w:p>
              </w:tc>
              <w:tc>
                <w:tcPr>
                  <w:tcW w:w="487"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在用</w:t>
                  </w:r>
                </w:p>
              </w:tc>
              <w:tc>
                <w:tcPr>
                  <w:tcW w:w="1035"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黑环函[2010]57号、黑环验[2015]114号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260" w:type="pct"/>
                  <w:noWrap w:val="0"/>
                  <w:vAlign w:val="center"/>
                </w:tcPr>
                <w:p>
                  <w:pPr>
                    <w:adjustRightInd w:val="0"/>
                    <w:snapToGrid w:val="0"/>
                    <w:spacing w:line="240" w:lineRule="auto"/>
                    <w:jc w:val="center"/>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14</w:t>
                  </w:r>
                </w:p>
              </w:tc>
              <w:tc>
                <w:tcPr>
                  <w:tcW w:w="677"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X射线摄影机</w:t>
                  </w:r>
                </w:p>
              </w:tc>
              <w:tc>
                <w:tcPr>
                  <w:tcW w:w="1047" w:type="pct"/>
                  <w:noWrap w:val="0"/>
                  <w:vAlign w:val="center"/>
                </w:tcPr>
                <w:p>
                  <w:pPr>
                    <w:adjustRightInd w:val="0"/>
                    <w:snapToGrid w:val="0"/>
                    <w:spacing w:line="240" w:lineRule="auto"/>
                    <w:jc w:val="center"/>
                    <w:rPr>
                      <w:rFonts w:hint="eastAsia" w:ascii="宋体" w:hAnsi="宋体" w:eastAsia="宋体" w:cs="宋体"/>
                      <w:b w:val="0"/>
                      <w:bCs/>
                      <w:color w:val="auto"/>
                      <w:highlight w:val="none"/>
                      <w:lang w:val="en-US" w:eastAsia="zh-CN"/>
                    </w:rPr>
                  </w:pPr>
                  <w:r>
                    <w:rPr>
                      <w:rFonts w:hint="eastAsia" w:ascii="宋体" w:hAnsi="宋体" w:eastAsia="宋体" w:cs="宋体"/>
                      <w:b w:val="0"/>
                      <w:bCs/>
                      <w:color w:val="auto"/>
                      <w:highlight w:val="none"/>
                      <w:lang w:val="en-US" w:eastAsia="zh-CN"/>
                    </w:rPr>
                    <w:t>XTV-S-1030</w:t>
                  </w:r>
                </w:p>
              </w:tc>
              <w:tc>
                <w:tcPr>
                  <w:tcW w:w="415" w:type="pct"/>
                  <w:noWrap w:val="0"/>
                  <w:vAlign w:val="center"/>
                </w:tcPr>
                <w:p>
                  <w:pPr>
                    <w:adjustRightInd w:val="0"/>
                    <w:snapToGrid w:val="0"/>
                    <w:spacing w:line="240" w:lineRule="auto"/>
                    <w:jc w:val="center"/>
                    <w:rPr>
                      <w:rFonts w:hint="eastAsia" w:ascii="宋体" w:hAnsi="宋体" w:eastAsia="宋体" w:cs="宋体"/>
                      <w:b w:val="0"/>
                      <w:bCs/>
                      <w:color w:val="auto"/>
                      <w:highlight w:val="none"/>
                    </w:rPr>
                  </w:pPr>
                  <w:r>
                    <w:rPr>
                      <w:rFonts w:hint="eastAsia" w:ascii="宋体" w:hAnsi="宋体" w:eastAsia="宋体" w:cs="宋体"/>
                      <w:b w:val="0"/>
                      <w:bCs/>
                      <w:color w:val="auto"/>
                      <w:highlight w:val="none"/>
                      <w:lang w:val="en-US" w:eastAsia="zh-CN"/>
                    </w:rPr>
                    <w:t>Ⅲ</w:t>
                  </w:r>
                </w:p>
              </w:tc>
              <w:tc>
                <w:tcPr>
                  <w:tcW w:w="1074"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color w:val="auto"/>
                      <w:highlight w:val="none"/>
                      <w:lang w:val="en-US" w:eastAsia="zh-CN"/>
                    </w:rPr>
                    <w:t>骨科1层摄影室</w:t>
                  </w:r>
                </w:p>
              </w:tc>
              <w:tc>
                <w:tcPr>
                  <w:tcW w:w="487"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在用</w:t>
                  </w:r>
                </w:p>
              </w:tc>
              <w:tc>
                <w:tcPr>
                  <w:tcW w:w="1035"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已登记：202323050200000020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0" w:hRule="exact"/>
                <w:jc w:val="center"/>
              </w:trPr>
              <w:tc>
                <w:tcPr>
                  <w:tcW w:w="260" w:type="pct"/>
                  <w:noWrap w:val="0"/>
                  <w:vAlign w:val="center"/>
                </w:tcPr>
                <w:p>
                  <w:pPr>
                    <w:adjustRightInd w:val="0"/>
                    <w:snapToGrid w:val="0"/>
                    <w:spacing w:line="240" w:lineRule="auto"/>
                    <w:jc w:val="center"/>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15</w:t>
                  </w:r>
                </w:p>
              </w:tc>
              <w:tc>
                <w:tcPr>
                  <w:tcW w:w="677"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加速器</w:t>
                  </w:r>
                </w:p>
              </w:tc>
              <w:tc>
                <w:tcPr>
                  <w:tcW w:w="1047" w:type="pct"/>
                  <w:noWrap w:val="0"/>
                  <w:vAlign w:val="center"/>
                </w:tcPr>
                <w:p>
                  <w:pPr>
                    <w:adjustRightInd w:val="0"/>
                    <w:snapToGrid w:val="0"/>
                    <w:spacing w:line="240" w:lineRule="auto"/>
                    <w:jc w:val="center"/>
                    <w:rPr>
                      <w:rFonts w:hint="eastAsia" w:ascii="宋体" w:hAnsi="宋体" w:eastAsia="宋体" w:cs="宋体"/>
                      <w:b w:val="0"/>
                      <w:bCs/>
                      <w:color w:val="auto"/>
                      <w:highlight w:val="none"/>
                      <w:lang w:val="en-US" w:eastAsia="zh-CN"/>
                    </w:rPr>
                  </w:pPr>
                  <w:r>
                    <w:rPr>
                      <w:rFonts w:hint="eastAsia" w:ascii="宋体" w:hAnsi="宋体" w:eastAsia="宋体" w:cs="宋体"/>
                      <w:color w:val="auto"/>
                      <w:szCs w:val="21"/>
                      <w:highlight w:val="none"/>
                      <w:lang w:eastAsia="zh-CN"/>
                    </w:rPr>
                    <w:t xml:space="preserve">Elekta Synergy </w:t>
                  </w:r>
                </w:p>
              </w:tc>
              <w:tc>
                <w:tcPr>
                  <w:tcW w:w="415" w:type="pct"/>
                  <w:noWrap w:val="0"/>
                  <w:vAlign w:val="center"/>
                </w:tcPr>
                <w:p>
                  <w:pPr>
                    <w:adjustRightInd w:val="0"/>
                    <w:snapToGrid w:val="0"/>
                    <w:spacing w:line="240" w:lineRule="auto"/>
                    <w:jc w:val="center"/>
                    <w:rPr>
                      <w:rFonts w:hint="eastAsia" w:ascii="宋体" w:hAnsi="宋体" w:eastAsia="宋体" w:cs="宋体"/>
                      <w:b w:val="0"/>
                      <w:bCs/>
                      <w:color w:val="auto"/>
                      <w:highlight w:val="none"/>
                      <w:lang w:val="en-US" w:eastAsia="zh-CN"/>
                    </w:rPr>
                  </w:pPr>
                  <w:r>
                    <w:rPr>
                      <w:rFonts w:hint="eastAsia" w:ascii="宋体" w:hAnsi="宋体" w:eastAsia="宋体" w:cs="宋体"/>
                      <w:b w:val="0"/>
                      <w:bCs/>
                      <w:color w:val="auto"/>
                      <w:highlight w:val="none"/>
                      <w:lang w:val="en-US" w:eastAsia="zh-CN"/>
                    </w:rPr>
                    <w:t>Ⅱ</w:t>
                  </w:r>
                </w:p>
              </w:tc>
              <w:tc>
                <w:tcPr>
                  <w:tcW w:w="1074"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骨科楼一层加速器机房</w:t>
                  </w:r>
                </w:p>
              </w:tc>
              <w:tc>
                <w:tcPr>
                  <w:tcW w:w="487"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在用</w:t>
                  </w:r>
                </w:p>
              </w:tc>
              <w:tc>
                <w:tcPr>
                  <w:tcW w:w="1035" w:type="pct"/>
                  <w:noWrap w:val="0"/>
                  <w:vAlign w:val="center"/>
                </w:tcPr>
                <w:p>
                  <w:pPr>
                    <w:keepNext w:val="0"/>
                    <w:keepLines w:val="0"/>
                    <w:widowControl/>
                    <w:suppressLineNumbers w:val="0"/>
                    <w:wordWrap w:val="0"/>
                    <w:spacing w:before="0" w:beforeAutospacing="0" w:after="0" w:afterAutospacing="0" w:line="240" w:lineRule="auto"/>
                    <w:ind w:left="0" w:leftChars="0" w:right="0" w:rightChars="0" w:firstLine="0" w:firstLineChars="0"/>
                    <w:jc w:val="center"/>
                    <w:textAlignment w:val="center"/>
                    <w:rPr>
                      <w:rFonts w:hint="eastAsia" w:ascii="宋体" w:hAnsi="宋体" w:eastAsia="宋体" w:cs="宋体"/>
                      <w:b w:val="0"/>
                      <w:bCs/>
                      <w:color w:val="auto"/>
                      <w:szCs w:val="21"/>
                      <w:highlight w:val="none"/>
                      <w:lang w:val="en-US" w:eastAsia="zh-CN"/>
                    </w:rPr>
                  </w:pPr>
                  <w:r>
                    <w:rPr>
                      <w:rFonts w:hint="eastAsia" w:ascii="宋体" w:hAnsi="宋体" w:eastAsia="宋体" w:cs="宋体"/>
                      <w:b w:val="0"/>
                      <w:bCs/>
                      <w:color w:val="auto"/>
                      <w:szCs w:val="21"/>
                      <w:highlight w:val="none"/>
                      <w:lang w:val="en-US" w:eastAsia="zh-CN"/>
                    </w:rPr>
                    <w:t>黑环审[2019]52号、已自主验收、本次移机</w:t>
                  </w:r>
                </w:p>
              </w:tc>
            </w:tr>
          </w:tbl>
          <w:p>
            <w:pPr>
              <w:spacing w:line="360" w:lineRule="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注：上表中KB1800型直线加速器已出让给邢台伟豪贸易有限公司，TU-51DR胃肠机、BRIGHT SPEED CT机已报废，DR7500已停用，KODAKDR3500 DR系统、乳腺X光机已移机，并重新登记，牙片机和胃肠机型号和位置已更新，并重新登记，将在本次环评后统一进行辐射许可的变更；本次移机的Elekta Synergy型直线加速器现位于骨科楼一层加速器机房，已取得环评批复并通过竣工环保验收，但因原有直线加速器机房与院区新建建筑主体防火间距不满足相关要求，需移机。</w:t>
            </w:r>
          </w:p>
          <w:p>
            <w:pPr>
              <w:spacing w:line="360" w:lineRule="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1.1.3原有辐射安全管理情况</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（1）辐射安全管理机构</w:t>
            </w:r>
          </w:p>
          <w:p>
            <w:pPr>
              <w:spacing w:line="360" w:lineRule="auto"/>
              <w:ind w:firstLine="480" w:firstLineChars="200"/>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双鸭山双矿医院有限公司成立了辐射安全与环境保护管理机构，以徐克达为组长，以李辉、赵凤雷为副组长，以邢淑珍等为成员，负责全院辐射安全与环境保护管理工作。</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（2）现有辐射安全管理制度</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医院已制定了一系列制度，包括：</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放疗质控制度</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放疗科安全防护管理制度</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放疗科操作规程</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放疗工作人员健康管理</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放疗患者告知</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放射治疗技术操作规范及流程</w:t>
            </w:r>
            <w:r>
              <w:rPr>
                <w:rFonts w:hint="eastAsia" w:ascii="宋体" w:hAnsi="宋体" w:eastAsia="宋体" w:cs="宋体"/>
                <w:color w:val="auto"/>
                <w:sz w:val="24"/>
                <w:highlight w:val="none"/>
                <w:lang w:eastAsia="zh-CN"/>
              </w:rPr>
              <w:t>》</w:t>
            </w:r>
            <w:r>
              <w:rPr>
                <w:rFonts w:hint="eastAsia" w:ascii="宋体" w:hAnsi="宋体" w:eastAsia="宋体" w:cs="宋体"/>
                <w:sz w:val="24"/>
                <w:szCs w:val="24"/>
                <w:lang w:val="en-US" w:eastAsia="zh-CN"/>
              </w:rPr>
              <w:t>《辐射防护管理人员岗位责任制》《辐射事故应急预案》《使用登记制度》《放射工作人员</w:t>
            </w:r>
            <w:r>
              <w:rPr>
                <w:rFonts w:hint="eastAsia" w:ascii="宋体" w:hAnsi="宋体" w:eastAsia="宋体" w:cs="宋体"/>
                <w:color w:val="auto"/>
                <w:sz w:val="24"/>
                <w:szCs w:val="24"/>
                <w:lang w:val="en-US" w:eastAsia="zh-CN"/>
              </w:rPr>
              <w:t>岗位职责及操作规程》《辐射防护和安全保卫制度》《设备检修维护制度》《人员培训计划》《监测制度》《加速器操作规范》《DSA操作规程》</w:t>
            </w:r>
            <w:r>
              <w:rPr>
                <w:rFonts w:hint="eastAsia" w:ascii="宋体" w:hAnsi="宋体" w:eastAsia="宋体" w:cs="宋体"/>
                <w:color w:val="auto"/>
                <w:sz w:val="24"/>
                <w:highlight w:val="none"/>
              </w:rPr>
              <w:t>等</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该医院现有制度能满足现有工作的要求</w:t>
            </w:r>
            <w:r>
              <w:rPr>
                <w:rFonts w:hint="eastAsia" w:ascii="宋体" w:hAnsi="宋体" w:eastAsia="宋体" w:cs="宋体"/>
                <w:color w:val="auto"/>
                <w:sz w:val="24"/>
                <w:highlight w:val="none"/>
              </w:rPr>
              <w:t>。</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（3）放射性工作人员培训</w:t>
            </w:r>
          </w:p>
          <w:p>
            <w:pPr>
              <w:pStyle w:val="7"/>
              <w:numPr>
                <w:ilvl w:val="0"/>
                <w:numId w:val="0"/>
              </w:numPr>
              <w:spacing w:line="360" w:lineRule="auto"/>
              <w:ind w:leftChars="0" w:firstLine="480" w:firstLineChars="200"/>
              <w:rPr>
                <w:rFonts w:hint="eastAsia" w:ascii="宋体" w:hAnsi="宋体" w:eastAsia="宋体" w:cs="宋体"/>
                <w:color w:val="0000FF"/>
                <w:kern w:val="0"/>
                <w:sz w:val="24"/>
                <w:highlight w:val="none"/>
                <w:lang w:val="en-US" w:eastAsia="zh-CN"/>
              </w:rPr>
            </w:pPr>
            <w:r>
              <w:rPr>
                <w:rFonts w:hint="eastAsia" w:ascii="宋体" w:hAnsi="宋体" w:eastAsia="宋体" w:cs="宋体"/>
                <w:color w:val="auto"/>
                <w:sz w:val="24"/>
                <w:highlight w:val="none"/>
              </w:rPr>
              <w:t>该医院目前放射性工作人员共计</w:t>
            </w:r>
            <w:r>
              <w:rPr>
                <w:rFonts w:hint="eastAsia" w:ascii="宋体" w:hAnsi="宋体" w:eastAsia="宋体" w:cs="宋体"/>
                <w:color w:val="auto"/>
                <w:sz w:val="24"/>
                <w:highlight w:val="none"/>
                <w:lang w:val="en-US" w:eastAsia="zh-CN"/>
              </w:rPr>
              <w:t>92</w:t>
            </w:r>
            <w:r>
              <w:rPr>
                <w:rFonts w:hint="eastAsia" w:ascii="宋体" w:hAnsi="宋体" w:eastAsia="宋体" w:cs="宋体"/>
                <w:color w:val="auto"/>
                <w:sz w:val="24"/>
                <w:highlight w:val="none"/>
              </w:rPr>
              <w:t>人</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其中30人取得了</w:t>
            </w:r>
            <w:r>
              <w:rPr>
                <w:rFonts w:hint="eastAsia" w:ascii="宋体" w:hAnsi="宋体" w:eastAsia="宋体" w:cs="宋体"/>
                <w:color w:val="auto"/>
                <w:sz w:val="24"/>
                <w:highlight w:val="none"/>
              </w:rPr>
              <w:t>环保部门颁发的辐射防护和安全培训合格证</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均</w:t>
            </w:r>
            <w:r>
              <w:rPr>
                <w:rFonts w:hint="eastAsia" w:ascii="宋体" w:hAnsi="宋体" w:eastAsia="宋体" w:cs="宋体"/>
                <w:color w:val="auto"/>
                <w:kern w:val="0"/>
                <w:sz w:val="24"/>
                <w:highlight w:val="none"/>
              </w:rPr>
              <w:t>考核合格</w:t>
            </w: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lang w:val="en-US" w:eastAsia="zh-CN"/>
              </w:rPr>
              <w:t>其余62人均为Ⅲ类射线装置工作人员，均参加了院内自主培训和考核，均考核合格。</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（4）个人剂量检测及环境监测</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该医院目前配备个人剂量计</w:t>
            </w:r>
            <w:r>
              <w:rPr>
                <w:rFonts w:hint="eastAsia" w:ascii="宋体" w:hAnsi="宋体" w:eastAsia="宋体" w:cs="宋体"/>
                <w:color w:val="auto"/>
                <w:sz w:val="24"/>
                <w:highlight w:val="none"/>
                <w:lang w:val="en-US" w:eastAsia="zh-CN"/>
              </w:rPr>
              <w:t>的工作人员共计92人</w:t>
            </w:r>
            <w:r>
              <w:rPr>
                <w:rFonts w:hint="eastAsia" w:ascii="宋体" w:hAnsi="宋体" w:eastAsia="宋体" w:cs="宋体"/>
                <w:color w:val="auto"/>
                <w:sz w:val="24"/>
                <w:highlight w:val="none"/>
              </w:rPr>
              <w:t>，个人剂量检测由</w:t>
            </w:r>
            <w:r>
              <w:rPr>
                <w:rFonts w:hint="eastAsia" w:ascii="宋体" w:hAnsi="宋体" w:eastAsia="宋体" w:cs="宋体"/>
                <w:color w:val="auto"/>
                <w:sz w:val="24"/>
                <w:highlight w:val="none"/>
                <w:lang w:val="en-US" w:eastAsia="zh-CN"/>
              </w:rPr>
              <w:t>黑龙江省疾病预防控制中心</w:t>
            </w:r>
            <w:r>
              <w:rPr>
                <w:rFonts w:hint="eastAsia" w:ascii="宋体" w:hAnsi="宋体" w:eastAsia="宋体" w:cs="宋体"/>
                <w:color w:val="auto"/>
                <w:sz w:val="24"/>
                <w:highlight w:val="none"/>
              </w:rPr>
              <w:t>定期进行检测，经检测，该医院</w:t>
            </w:r>
            <w:r>
              <w:rPr>
                <w:rFonts w:hint="eastAsia" w:ascii="宋体" w:hAnsi="宋体" w:eastAsia="宋体" w:cs="宋体"/>
                <w:color w:val="auto"/>
                <w:sz w:val="24"/>
                <w:highlight w:val="none"/>
                <w:lang w:val="en-US" w:eastAsia="zh-CN"/>
              </w:rPr>
              <w:t>所有参加检测的</w:t>
            </w:r>
            <w:r>
              <w:rPr>
                <w:rFonts w:hint="eastAsia" w:ascii="宋体" w:hAnsi="宋体" w:eastAsia="宋体" w:cs="宋体"/>
                <w:color w:val="auto"/>
                <w:sz w:val="24"/>
                <w:highlight w:val="none"/>
              </w:rPr>
              <w:t>工作人员个人剂量均低于《电离辐射防护与辐射源安全基本标准》(GB18871-2002)剂量约束限值的要求。按照监测计划定期委托有资质的单位进行环境监测。</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（5）辐射事故应急管理</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医院制定了辐射事故应急处理预案，未发生过辐射安全事故。医院成立了</w:t>
            </w:r>
            <w:r>
              <w:rPr>
                <w:rFonts w:hint="eastAsia" w:ascii="宋体" w:hAnsi="宋体" w:eastAsia="宋体" w:cs="宋体"/>
                <w:color w:val="auto"/>
                <w:sz w:val="24"/>
                <w:highlight w:val="none"/>
                <w:lang w:val="en-US" w:eastAsia="zh-CN"/>
              </w:rPr>
              <w:t>辐射</w:t>
            </w:r>
            <w:r>
              <w:rPr>
                <w:rFonts w:hint="eastAsia" w:ascii="宋体" w:hAnsi="宋体" w:eastAsia="宋体" w:cs="宋体"/>
                <w:color w:val="auto"/>
                <w:sz w:val="24"/>
                <w:highlight w:val="none"/>
              </w:rPr>
              <w:t>突发事件应急组织机构，组织、开展放射事件的应急处理救援工作，</w:t>
            </w:r>
            <w:r>
              <w:rPr>
                <w:rFonts w:hint="eastAsia" w:ascii="宋体" w:hAnsi="宋体" w:eastAsia="宋体" w:cs="宋体"/>
                <w:color w:val="auto"/>
                <w:sz w:val="24"/>
                <w:highlight w:val="none"/>
                <w:lang w:val="en-US" w:eastAsia="zh-CN"/>
              </w:rPr>
              <w:t>应急指挥部</w:t>
            </w:r>
            <w:r>
              <w:rPr>
                <w:rFonts w:hint="eastAsia" w:ascii="宋体" w:hAnsi="宋体" w:eastAsia="宋体" w:cs="宋体"/>
                <w:color w:val="auto"/>
                <w:sz w:val="24"/>
                <w:highlight w:val="none"/>
              </w:rPr>
              <w:t>成员名单如下：</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lang w:val="en-US" w:eastAsia="zh-CN"/>
              </w:rPr>
              <w:t>组长</w:t>
            </w:r>
            <w:r>
              <w:rPr>
                <w:rFonts w:hint="eastAsia" w:ascii="宋体" w:hAnsi="宋体" w:eastAsia="宋体" w:cs="宋体"/>
                <w:color w:val="auto"/>
                <w:sz w:val="24"/>
                <w:highlight w:val="none"/>
              </w:rPr>
              <w:t>：</w:t>
            </w:r>
            <w:r>
              <w:rPr>
                <w:rFonts w:hint="eastAsia" w:ascii="宋体" w:hAnsi="宋体" w:eastAsia="宋体" w:cs="宋体"/>
                <w:color w:val="auto"/>
                <w:sz w:val="24"/>
                <w:highlight w:val="none"/>
                <w:lang w:val="en-US" w:eastAsia="zh-CN"/>
              </w:rPr>
              <w:t>徐克达</w:t>
            </w:r>
          </w:p>
          <w:p>
            <w:pPr>
              <w:spacing w:line="360" w:lineRule="auto"/>
              <w:ind w:firstLine="480" w:firstLineChars="200"/>
              <w:rPr>
                <w:rFonts w:hint="eastAsia" w:ascii="宋体" w:hAnsi="宋体" w:eastAsia="宋体" w:cs="宋体"/>
                <w:color w:val="auto"/>
                <w:sz w:val="24"/>
                <w:highlight w:val="none"/>
                <w:lang w:val="en-US"/>
              </w:rPr>
            </w:pPr>
            <w:r>
              <w:rPr>
                <w:rFonts w:hint="eastAsia" w:ascii="宋体" w:hAnsi="宋体" w:eastAsia="宋体" w:cs="宋体"/>
                <w:color w:val="auto"/>
                <w:sz w:val="24"/>
                <w:highlight w:val="none"/>
              </w:rPr>
              <w:t>副</w:t>
            </w:r>
            <w:r>
              <w:rPr>
                <w:rFonts w:hint="eastAsia" w:ascii="宋体" w:hAnsi="宋体" w:eastAsia="宋体" w:cs="宋体"/>
                <w:color w:val="auto"/>
                <w:sz w:val="24"/>
                <w:highlight w:val="none"/>
                <w:lang w:val="en-US" w:eastAsia="zh-CN"/>
              </w:rPr>
              <w:t>组长</w:t>
            </w:r>
            <w:r>
              <w:rPr>
                <w:rFonts w:hint="eastAsia" w:ascii="宋体" w:hAnsi="宋体" w:eastAsia="宋体" w:cs="宋体"/>
                <w:color w:val="auto"/>
                <w:sz w:val="24"/>
                <w:highlight w:val="none"/>
              </w:rPr>
              <w:t>：</w:t>
            </w:r>
            <w:r>
              <w:rPr>
                <w:rFonts w:hint="eastAsia" w:ascii="宋体" w:hAnsi="宋体" w:eastAsia="宋体" w:cs="宋体"/>
                <w:color w:val="auto"/>
                <w:sz w:val="24"/>
                <w:highlight w:val="none"/>
                <w:lang w:val="en-US" w:eastAsia="zh-CN"/>
              </w:rPr>
              <w:t>李辉，赵凤雷</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组  员：</w:t>
            </w:r>
            <w:r>
              <w:rPr>
                <w:rFonts w:hint="eastAsia" w:ascii="宋体" w:hAnsi="宋体" w:eastAsia="宋体" w:cs="宋体"/>
                <w:color w:val="auto"/>
                <w:sz w:val="24"/>
                <w:highlight w:val="none"/>
                <w:lang w:val="en-US" w:eastAsia="zh-CN"/>
              </w:rPr>
              <w:t>邢淑珍，王岩，刘玉玮，张志成，任飞</w:t>
            </w:r>
            <w:r>
              <w:rPr>
                <w:rFonts w:hint="eastAsia" w:ascii="宋体" w:hAnsi="宋体" w:eastAsia="宋体" w:cs="宋体"/>
                <w:color w:val="auto"/>
                <w:sz w:val="24"/>
                <w:highlight w:val="none"/>
              </w:rPr>
              <w:t xml:space="preserve"> </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（6）监测仪器和防护用品</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医院配有个人剂量仪</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场所配置</w:t>
            </w:r>
            <w:r>
              <w:rPr>
                <w:rFonts w:hint="eastAsia" w:ascii="宋体" w:hAnsi="宋体" w:eastAsia="宋体" w:cs="宋体"/>
                <w:color w:val="auto"/>
                <w:kern w:val="0"/>
                <w:sz w:val="24"/>
                <w:lang w:val="en-US" w:eastAsia="zh-CN"/>
              </w:rPr>
              <w:t>固定式报警仪</w:t>
            </w:r>
            <w:r>
              <w:rPr>
                <w:rFonts w:hint="eastAsia" w:ascii="宋体" w:hAnsi="宋体" w:eastAsia="宋体" w:cs="宋体"/>
                <w:color w:val="auto"/>
                <w:sz w:val="24"/>
                <w:highlight w:val="none"/>
              </w:rPr>
              <w:t>以及其他辐射防护用品，能够满足现有工作的需要。</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（7）年度评估</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该医院对所有辐射设备进行了202</w:t>
            </w:r>
            <w:r>
              <w:rPr>
                <w:rFonts w:hint="eastAsia" w:ascii="宋体" w:hAnsi="宋体" w:eastAsia="宋体" w:cs="宋体"/>
                <w:color w:val="auto"/>
                <w:sz w:val="24"/>
                <w:highlight w:val="none"/>
                <w:lang w:val="en-US" w:eastAsia="zh-CN"/>
              </w:rPr>
              <w:t>2</w:t>
            </w:r>
            <w:r>
              <w:rPr>
                <w:rFonts w:hint="eastAsia" w:ascii="宋体" w:hAnsi="宋体" w:eastAsia="宋体" w:cs="宋体"/>
                <w:color w:val="auto"/>
                <w:sz w:val="24"/>
                <w:highlight w:val="none"/>
              </w:rPr>
              <w:t>年年度评估，各设备相关手续合格，规章制度健全，工作场所防护设施及措施符合相关要求，202</w:t>
            </w:r>
            <w:r>
              <w:rPr>
                <w:rFonts w:hint="eastAsia" w:ascii="宋体" w:hAnsi="宋体" w:eastAsia="宋体" w:cs="宋体"/>
                <w:color w:val="auto"/>
                <w:sz w:val="24"/>
                <w:highlight w:val="none"/>
                <w:lang w:val="en-US" w:eastAsia="zh-CN"/>
              </w:rPr>
              <w:t>2</w:t>
            </w:r>
            <w:r>
              <w:rPr>
                <w:rFonts w:hint="eastAsia" w:ascii="宋体" w:hAnsi="宋体" w:eastAsia="宋体" w:cs="宋体"/>
                <w:color w:val="auto"/>
                <w:sz w:val="24"/>
                <w:highlight w:val="none"/>
              </w:rPr>
              <w:t>年未发生辐射事故，各设备运行良好并符合相关防护要求。</w:t>
            </w:r>
          </w:p>
          <w:p>
            <w:pPr>
              <w:spacing w:line="360" w:lineRule="auto"/>
              <w:rPr>
                <w:rFonts w:hint="eastAsia" w:ascii="宋体" w:hAnsi="宋体" w:eastAsia="宋体" w:cs="宋体"/>
                <w:color w:val="auto"/>
                <w:sz w:val="24"/>
                <w:highlight w:val="none"/>
              </w:rPr>
            </w:pPr>
            <w:r>
              <w:rPr>
                <w:rFonts w:hint="eastAsia" w:ascii="宋体" w:hAnsi="宋体" w:eastAsia="宋体" w:cs="宋体"/>
                <w:b/>
                <w:color w:val="auto"/>
                <w:sz w:val="24"/>
                <w:highlight w:val="none"/>
              </w:rPr>
              <w:t>1.2本项目建设规模</w:t>
            </w:r>
          </w:p>
          <w:p>
            <w:pPr>
              <w:spacing w:line="360" w:lineRule="auto"/>
              <w:ind w:firstLine="435"/>
              <w:rPr>
                <w:rFonts w:hint="eastAsia" w:ascii="宋体" w:hAnsi="宋体" w:eastAsia="宋体" w:cs="宋体"/>
                <w:color w:val="auto"/>
                <w:kern w:val="0"/>
                <w:sz w:val="24"/>
                <w:highlight w:val="none"/>
              </w:rPr>
            </w:pPr>
            <w:r>
              <w:rPr>
                <w:rFonts w:hint="eastAsia" w:ascii="宋体" w:hAnsi="宋体" w:eastAsia="宋体" w:cs="宋体"/>
                <w:color w:val="auto"/>
                <w:sz w:val="24"/>
                <w:highlight w:val="none"/>
              </w:rPr>
              <w:t>本项目建设内容为拟在</w:t>
            </w:r>
            <w:r>
              <w:rPr>
                <w:rFonts w:hint="eastAsia" w:ascii="宋体" w:hAnsi="宋体" w:eastAsia="宋体" w:cs="宋体"/>
                <w:color w:val="auto"/>
                <w:sz w:val="24"/>
                <w:highlight w:val="none"/>
                <w:lang w:val="en-US" w:eastAsia="zh-CN"/>
              </w:rPr>
              <w:t>双鸭山双矿医院有限公司院内新建直线加速器机房1座，将医院现有位于骨科楼一层加速器机房的1台Elekta Synergy 型10</w:t>
            </w:r>
            <w:r>
              <w:rPr>
                <w:rFonts w:hint="eastAsia" w:ascii="宋体" w:hAnsi="宋体" w:eastAsia="宋体" w:cs="宋体"/>
                <w:color w:val="auto"/>
                <w:sz w:val="24"/>
                <w:highlight w:val="none"/>
              </w:rPr>
              <w:t>MV</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6MV、10MV可调）</w:t>
            </w:r>
            <w:r>
              <w:rPr>
                <w:rFonts w:hint="eastAsia" w:ascii="宋体" w:hAnsi="宋体" w:eastAsia="宋体" w:cs="宋体"/>
                <w:color w:val="auto"/>
                <w:sz w:val="24"/>
                <w:highlight w:val="none"/>
              </w:rPr>
              <w:t>的直线加速器</w:t>
            </w:r>
            <w:r>
              <w:rPr>
                <w:rFonts w:hint="eastAsia" w:ascii="宋体" w:hAnsi="宋体" w:eastAsia="宋体" w:cs="宋体"/>
                <w:color w:val="auto"/>
                <w:sz w:val="24"/>
                <w:highlight w:val="none"/>
                <w:lang w:val="en-US" w:eastAsia="zh-CN"/>
              </w:rPr>
              <w:t>移至新建加速器机房</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rPr>
              <w:t>并配套建设</w:t>
            </w:r>
            <w:r>
              <w:rPr>
                <w:rFonts w:hint="eastAsia" w:ascii="宋体" w:hAnsi="宋体" w:eastAsia="宋体" w:cs="宋体"/>
                <w:color w:val="auto"/>
                <w:sz w:val="24"/>
                <w:highlight w:val="none"/>
                <w:lang w:val="en-US" w:eastAsia="zh-CN"/>
              </w:rPr>
              <w:t>控制室、设备机房、水冷机房</w:t>
            </w:r>
            <w:r>
              <w:rPr>
                <w:rFonts w:hint="eastAsia" w:ascii="宋体" w:hAnsi="宋体" w:eastAsia="宋体" w:cs="宋体"/>
                <w:color w:val="auto"/>
                <w:sz w:val="24"/>
                <w:highlight w:val="none"/>
              </w:rPr>
              <w:t>等，项目</w:t>
            </w:r>
            <w:r>
              <w:rPr>
                <w:rFonts w:hint="eastAsia" w:ascii="宋体" w:hAnsi="宋体" w:eastAsia="宋体" w:cs="宋体"/>
                <w:color w:val="auto"/>
                <w:sz w:val="24"/>
                <w:highlight w:val="none"/>
                <w:lang w:val="en-US" w:eastAsia="zh-CN"/>
              </w:rPr>
              <w:t>总占地面积190.93m</w:t>
            </w:r>
            <w:r>
              <w:rPr>
                <w:rFonts w:hint="eastAsia" w:ascii="宋体" w:hAnsi="宋体" w:eastAsia="宋体" w:cs="宋体"/>
                <w:color w:val="auto"/>
                <w:sz w:val="24"/>
                <w:highlight w:val="none"/>
                <w:vertAlign w:val="superscript"/>
                <w:lang w:val="en-US" w:eastAsia="zh-CN"/>
              </w:rPr>
              <w:t>2</w:t>
            </w:r>
            <w:r>
              <w:rPr>
                <w:rFonts w:hint="eastAsia" w:ascii="宋体" w:hAnsi="宋体" w:eastAsia="宋体" w:cs="宋体"/>
                <w:color w:val="auto"/>
                <w:sz w:val="24"/>
                <w:highlight w:val="none"/>
                <w:lang w:val="en-US" w:eastAsia="zh-CN"/>
              </w:rPr>
              <w:t>，加速器机房</w:t>
            </w:r>
            <w:r>
              <w:rPr>
                <w:rFonts w:hint="eastAsia" w:ascii="宋体" w:hAnsi="宋体" w:eastAsia="宋体" w:cs="宋体"/>
                <w:color w:val="auto"/>
                <w:sz w:val="24"/>
                <w:highlight w:val="none"/>
              </w:rPr>
              <w:t>占地面积为</w:t>
            </w:r>
            <w:r>
              <w:rPr>
                <w:rFonts w:hint="eastAsia" w:ascii="宋体" w:hAnsi="宋体" w:eastAsia="宋体" w:cs="宋体"/>
                <w:color w:val="auto"/>
                <w:sz w:val="24"/>
                <w:highlight w:val="none"/>
                <w:lang w:val="en-US" w:eastAsia="zh-CN"/>
              </w:rPr>
              <w:t>165.608</w:t>
            </w:r>
            <w:r>
              <w:rPr>
                <w:rFonts w:hint="eastAsia" w:ascii="宋体" w:hAnsi="宋体" w:eastAsia="宋体" w:cs="宋体"/>
                <w:color w:val="auto"/>
                <w:sz w:val="24"/>
                <w:highlight w:val="none"/>
              </w:rPr>
              <w:t>m</w:t>
            </w:r>
            <w:r>
              <w:rPr>
                <w:rFonts w:hint="eastAsia" w:ascii="宋体" w:hAnsi="宋体" w:eastAsia="宋体" w:cs="宋体"/>
                <w:color w:val="auto"/>
                <w:sz w:val="24"/>
                <w:highlight w:val="none"/>
                <w:vertAlign w:val="superscript"/>
              </w:rPr>
              <w:t>2</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highlight w:val="none"/>
              </w:rPr>
              <w:t>本项目</w:t>
            </w:r>
            <w:r>
              <w:rPr>
                <w:rFonts w:hint="eastAsia" w:ascii="宋体" w:hAnsi="宋体" w:eastAsia="宋体" w:cs="宋体"/>
                <w:color w:val="auto"/>
                <w:sz w:val="24"/>
                <w:highlight w:val="none"/>
                <w:lang w:val="en-US" w:eastAsia="zh-CN"/>
              </w:rPr>
              <w:t>拟设置5名辐射工作人员，该辐射工作人员在医院内部调配（为加速器原有工作人员，不新增），本项目辐射工作人员均具备与本项目匹配的专业技能、并及时报名参加了“国家核技术利用辐射安全与防护培训平台”学习，考核成绩均合格，做到了持证上岗。</w:t>
            </w:r>
            <w:r>
              <w:rPr>
                <w:rFonts w:hint="eastAsia" w:ascii="宋体" w:hAnsi="宋体" w:eastAsia="宋体" w:cs="宋体"/>
                <w:color w:val="auto"/>
                <w:sz w:val="24"/>
                <w:highlight w:val="none"/>
              </w:rPr>
              <w:t>本项目建设的目的是用于肿瘤患者的治疗，以提高医疗水平和治愈疾病。</w:t>
            </w:r>
            <w:r>
              <w:rPr>
                <w:rFonts w:hint="eastAsia" w:ascii="宋体" w:hAnsi="宋体" w:eastAsia="宋体" w:cs="宋体"/>
                <w:color w:val="auto"/>
                <w:kern w:val="0"/>
                <w:sz w:val="24"/>
                <w:highlight w:val="none"/>
              </w:rPr>
              <w:t>本项目新增射线装置情况详见表1-</w:t>
            </w:r>
            <w:r>
              <w:rPr>
                <w:rFonts w:hint="eastAsia" w:ascii="宋体" w:hAnsi="宋体" w:eastAsia="宋体" w:cs="宋体"/>
                <w:color w:val="auto"/>
                <w:kern w:val="0"/>
                <w:sz w:val="24"/>
                <w:highlight w:val="none"/>
                <w:lang w:val="en-US" w:eastAsia="zh-CN"/>
              </w:rPr>
              <w:t>3</w:t>
            </w:r>
            <w:r>
              <w:rPr>
                <w:rFonts w:hint="eastAsia" w:ascii="宋体" w:hAnsi="宋体" w:eastAsia="宋体" w:cs="宋体"/>
                <w:color w:val="auto"/>
                <w:kern w:val="0"/>
                <w:sz w:val="24"/>
                <w:highlight w:val="none"/>
              </w:rPr>
              <w:t>。</w:t>
            </w:r>
          </w:p>
          <w:p>
            <w:pPr>
              <w:spacing w:line="240" w:lineRule="auto"/>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表1-</w:t>
            </w:r>
            <w:r>
              <w:rPr>
                <w:rFonts w:hint="eastAsia" w:ascii="宋体" w:hAnsi="宋体" w:eastAsia="宋体" w:cs="宋体"/>
                <w:b/>
                <w:color w:val="auto"/>
                <w:sz w:val="21"/>
                <w:szCs w:val="21"/>
                <w:highlight w:val="none"/>
                <w:lang w:val="en-US" w:eastAsia="zh-CN"/>
              </w:rPr>
              <w:t xml:space="preserve">3 </w:t>
            </w:r>
            <w:r>
              <w:rPr>
                <w:rFonts w:hint="eastAsia" w:ascii="宋体" w:hAnsi="宋体" w:eastAsia="宋体" w:cs="宋体"/>
                <w:b/>
                <w:color w:val="auto"/>
                <w:sz w:val="21"/>
                <w:szCs w:val="21"/>
                <w:highlight w:val="none"/>
              </w:rPr>
              <w:t>本项目射线装置一览表</w:t>
            </w:r>
          </w:p>
          <w:tbl>
            <w:tblPr>
              <w:tblStyle w:val="1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7"/>
              <w:gridCol w:w="1033"/>
              <w:gridCol w:w="997"/>
              <w:gridCol w:w="3375"/>
              <w:gridCol w:w="1290"/>
              <w:gridCol w:w="117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257" w:type="pct"/>
                  <w:vAlign w:val="center"/>
                </w:tcPr>
                <w:p>
                  <w:pPr>
                    <w:spacing w:line="240" w:lineRule="auto"/>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序号</w:t>
                  </w:r>
                </w:p>
              </w:tc>
              <w:tc>
                <w:tcPr>
                  <w:tcW w:w="622" w:type="pct"/>
                  <w:vAlign w:val="center"/>
                </w:tcPr>
                <w:p>
                  <w:pPr>
                    <w:spacing w:line="240" w:lineRule="auto"/>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仪器</w:t>
                  </w:r>
                </w:p>
                <w:p>
                  <w:pPr>
                    <w:spacing w:line="240" w:lineRule="auto"/>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名称</w:t>
                  </w:r>
                </w:p>
              </w:tc>
              <w:tc>
                <w:tcPr>
                  <w:tcW w:w="600" w:type="pct"/>
                  <w:vAlign w:val="center"/>
                </w:tcPr>
                <w:p>
                  <w:pPr>
                    <w:spacing w:line="240" w:lineRule="auto"/>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型号</w:t>
                  </w:r>
                </w:p>
              </w:tc>
              <w:tc>
                <w:tcPr>
                  <w:tcW w:w="2033" w:type="pct"/>
                  <w:vAlign w:val="center"/>
                </w:tcPr>
                <w:p>
                  <w:pPr>
                    <w:spacing w:line="240" w:lineRule="auto"/>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主要参数</w:t>
                  </w:r>
                </w:p>
              </w:tc>
              <w:tc>
                <w:tcPr>
                  <w:tcW w:w="777" w:type="pct"/>
                  <w:vAlign w:val="center"/>
                </w:tcPr>
                <w:p>
                  <w:pPr>
                    <w:spacing w:line="240" w:lineRule="auto"/>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所在位置</w:t>
                  </w:r>
                </w:p>
              </w:tc>
              <w:tc>
                <w:tcPr>
                  <w:tcW w:w="709" w:type="pct"/>
                  <w:vAlign w:val="center"/>
                </w:tcPr>
                <w:p>
                  <w:pPr>
                    <w:spacing w:line="240" w:lineRule="auto"/>
                    <w:jc w:val="center"/>
                    <w:rPr>
                      <w:rFonts w:hint="eastAsia" w:ascii="宋体" w:hAnsi="宋体" w:eastAsia="宋体" w:cs="宋体"/>
                      <w:b/>
                      <w:color w:val="auto"/>
                      <w:sz w:val="21"/>
                      <w:szCs w:val="21"/>
                      <w:highlight w:val="none"/>
                      <w:lang w:val="en-US" w:eastAsia="zh-CN"/>
                    </w:rPr>
                  </w:pPr>
                  <w:r>
                    <w:rPr>
                      <w:rFonts w:hint="eastAsia" w:ascii="宋体" w:hAnsi="宋体" w:eastAsia="宋体" w:cs="宋体"/>
                      <w:b/>
                      <w:color w:val="auto"/>
                      <w:sz w:val="21"/>
                      <w:szCs w:val="21"/>
                      <w:highlight w:val="none"/>
                      <w:lang w:val="en-US" w:eastAsia="zh-CN"/>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5" w:hRule="exact"/>
                <w:jc w:val="center"/>
              </w:trPr>
              <w:tc>
                <w:tcPr>
                  <w:tcW w:w="257" w:type="pct"/>
                  <w:vAlign w:val="center"/>
                </w:tcPr>
                <w:p>
                  <w:pPr>
                    <w:spacing w:line="240" w:lineRule="auto"/>
                    <w:jc w:val="center"/>
                    <w:rPr>
                      <w:rFonts w:hint="eastAsia" w:ascii="宋体" w:hAnsi="宋体" w:eastAsia="宋体" w:cs="宋体"/>
                      <w:b/>
                      <w:color w:val="auto"/>
                      <w:sz w:val="21"/>
                      <w:szCs w:val="21"/>
                      <w:highlight w:val="none"/>
                    </w:rPr>
                  </w:pPr>
                  <w:r>
                    <w:rPr>
                      <w:rFonts w:hint="eastAsia" w:ascii="宋体" w:hAnsi="宋体" w:eastAsia="宋体" w:cs="宋体"/>
                      <w:color w:val="auto"/>
                      <w:sz w:val="21"/>
                      <w:szCs w:val="21"/>
                      <w:highlight w:val="none"/>
                    </w:rPr>
                    <w:t>1</w:t>
                  </w:r>
                </w:p>
              </w:tc>
              <w:tc>
                <w:tcPr>
                  <w:tcW w:w="622" w:type="pct"/>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加速器</w:t>
                  </w:r>
                </w:p>
              </w:tc>
              <w:tc>
                <w:tcPr>
                  <w:tcW w:w="600" w:type="pct"/>
                  <w:vAlign w:val="center"/>
                </w:tcPr>
                <w:p>
                  <w:pPr>
                    <w:spacing w:line="240" w:lineRule="auto"/>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Elekta Synergy</w:t>
                  </w:r>
                </w:p>
              </w:tc>
              <w:tc>
                <w:tcPr>
                  <w:tcW w:w="2033" w:type="pct"/>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X线：（6/10）MV</w:t>
                  </w:r>
                </w:p>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 xml:space="preserve">     电子束：（6/8/10/12/15）MeV</w:t>
                  </w:r>
                </w:p>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剂量率最大为：600cGy/min</w:t>
                  </w:r>
                </w:p>
              </w:tc>
              <w:tc>
                <w:tcPr>
                  <w:tcW w:w="777" w:type="pct"/>
                  <w:vAlign w:val="center"/>
                </w:tcPr>
                <w:p>
                  <w:pPr>
                    <w:spacing w:line="240" w:lineRule="auto"/>
                    <w:jc w:val="center"/>
                    <w:rPr>
                      <w:rFonts w:hint="eastAsia" w:ascii="宋体" w:hAnsi="宋体" w:eastAsia="宋体" w:cs="宋体"/>
                      <w:b/>
                      <w:color w:val="auto"/>
                      <w:sz w:val="21"/>
                      <w:szCs w:val="21"/>
                      <w:highlight w:val="none"/>
                      <w:lang w:val="en-US" w:eastAsia="zh-CN"/>
                    </w:rPr>
                  </w:pPr>
                  <w:r>
                    <w:rPr>
                      <w:rFonts w:hint="eastAsia" w:ascii="宋体" w:hAnsi="宋体" w:eastAsia="宋体" w:cs="宋体"/>
                      <w:color w:val="auto"/>
                      <w:sz w:val="21"/>
                      <w:szCs w:val="21"/>
                      <w:highlight w:val="none"/>
                      <w:lang w:val="en-US" w:eastAsia="zh-CN"/>
                    </w:rPr>
                    <w:t>加速器机房</w:t>
                  </w:r>
                </w:p>
              </w:tc>
              <w:tc>
                <w:tcPr>
                  <w:tcW w:w="709" w:type="pct"/>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移机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257" w:type="pct"/>
                  <w:vAlign w:val="center"/>
                </w:tcPr>
                <w:p>
                  <w:pPr>
                    <w:spacing w:line="240" w:lineRule="auto"/>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2</w:t>
                  </w:r>
                </w:p>
              </w:tc>
              <w:tc>
                <w:tcPr>
                  <w:tcW w:w="622" w:type="pct"/>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CBCT</w:t>
                  </w:r>
                </w:p>
              </w:tc>
              <w:tc>
                <w:tcPr>
                  <w:tcW w:w="600" w:type="pct"/>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KV－CBCT</w:t>
                  </w:r>
                </w:p>
              </w:tc>
              <w:tc>
                <w:tcPr>
                  <w:tcW w:w="2033" w:type="pct"/>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管电压：125kV；高压发生器：40kW</w:t>
                  </w:r>
                </w:p>
              </w:tc>
              <w:tc>
                <w:tcPr>
                  <w:tcW w:w="777" w:type="pct"/>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加速器自带</w:t>
                  </w:r>
                </w:p>
              </w:tc>
              <w:tc>
                <w:tcPr>
                  <w:tcW w:w="709" w:type="pct"/>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用于模拟定位</w:t>
                  </w:r>
                </w:p>
              </w:tc>
            </w:tr>
          </w:tbl>
          <w:p>
            <w:pPr>
              <w:spacing w:line="240" w:lineRule="auto"/>
              <w:jc w:val="center"/>
              <w:rPr>
                <w:rFonts w:hint="eastAsia" w:ascii="宋体" w:hAnsi="宋体" w:eastAsia="宋体" w:cs="宋体"/>
                <w:b/>
                <w:color w:val="auto"/>
                <w:sz w:val="21"/>
                <w:szCs w:val="21"/>
                <w:highlight w:val="none"/>
              </w:rPr>
            </w:pPr>
          </w:p>
          <w:p>
            <w:pPr>
              <w:spacing w:line="240" w:lineRule="auto"/>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表1-</w:t>
            </w:r>
            <w:r>
              <w:rPr>
                <w:rFonts w:hint="eastAsia" w:ascii="宋体" w:hAnsi="宋体" w:eastAsia="宋体" w:cs="宋体"/>
                <w:b/>
                <w:color w:val="auto"/>
                <w:sz w:val="21"/>
                <w:szCs w:val="21"/>
                <w:highlight w:val="none"/>
                <w:lang w:val="en-US" w:eastAsia="zh-CN"/>
              </w:rPr>
              <w:t xml:space="preserve">4 </w:t>
            </w:r>
            <w:r>
              <w:rPr>
                <w:rFonts w:hint="eastAsia" w:ascii="宋体" w:hAnsi="宋体" w:eastAsia="宋体" w:cs="宋体"/>
                <w:b/>
                <w:color w:val="auto"/>
                <w:sz w:val="21"/>
                <w:szCs w:val="21"/>
                <w:highlight w:val="none"/>
              </w:rPr>
              <w:t>项目组成一览表</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1"/>
              <w:gridCol w:w="777"/>
              <w:gridCol w:w="5580"/>
              <w:gridCol w:w="119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54" w:hRule="exact"/>
                <w:jc w:val="center"/>
              </w:trPr>
              <w:tc>
                <w:tcPr>
                  <w:tcW w:w="452" w:type="pct"/>
                  <w:tcBorders>
                    <w:tl2br w:val="nil"/>
                    <w:tr2bl w:val="nil"/>
                  </w:tcBorders>
                  <w:vAlign w:val="center"/>
                </w:tcPr>
                <w:p>
                  <w:pPr>
                    <w:jc w:val="center"/>
                    <w:rPr>
                      <w:rFonts w:hint="eastAsia" w:ascii="宋体" w:hAnsi="宋体" w:eastAsia="宋体" w:cs="宋体"/>
                      <w:b/>
                      <w:bCs/>
                      <w:color w:val="auto"/>
                    </w:rPr>
                  </w:pPr>
                  <w:r>
                    <w:rPr>
                      <w:rFonts w:hint="eastAsia" w:ascii="宋体" w:hAnsi="宋体" w:eastAsia="宋体" w:cs="宋体"/>
                      <w:b/>
                      <w:bCs/>
                      <w:color w:val="auto"/>
                    </w:rPr>
                    <w:t>名称</w:t>
                  </w:r>
                </w:p>
              </w:tc>
              <w:tc>
                <w:tcPr>
                  <w:tcW w:w="3828" w:type="pct"/>
                  <w:gridSpan w:val="2"/>
                  <w:tcBorders>
                    <w:tl2br w:val="nil"/>
                    <w:tr2bl w:val="nil"/>
                  </w:tcBorders>
                  <w:vAlign w:val="center"/>
                </w:tcPr>
                <w:p>
                  <w:pPr>
                    <w:jc w:val="center"/>
                    <w:rPr>
                      <w:rFonts w:hint="eastAsia" w:ascii="宋体" w:hAnsi="宋体" w:eastAsia="宋体" w:cs="宋体"/>
                      <w:b/>
                      <w:bCs/>
                      <w:color w:val="auto"/>
                    </w:rPr>
                  </w:pPr>
                  <w:r>
                    <w:rPr>
                      <w:rFonts w:hint="eastAsia" w:ascii="宋体" w:hAnsi="宋体" w:eastAsia="宋体" w:cs="宋体"/>
                      <w:b/>
                      <w:bCs/>
                      <w:color w:val="auto"/>
                    </w:rPr>
                    <w:t>建设项目及规模</w:t>
                  </w:r>
                </w:p>
              </w:tc>
              <w:tc>
                <w:tcPr>
                  <w:tcW w:w="719" w:type="pct"/>
                  <w:tcBorders>
                    <w:tl2br w:val="nil"/>
                    <w:tr2bl w:val="nil"/>
                  </w:tcBorders>
                  <w:vAlign w:val="center"/>
                </w:tcPr>
                <w:p>
                  <w:pPr>
                    <w:jc w:val="center"/>
                    <w:rPr>
                      <w:rFonts w:hint="eastAsia" w:ascii="宋体" w:hAnsi="宋体" w:eastAsia="宋体" w:cs="宋体"/>
                      <w:b/>
                      <w:bCs/>
                      <w:color w:val="auto"/>
                    </w:rPr>
                  </w:pPr>
                  <w:r>
                    <w:rPr>
                      <w:rFonts w:hint="eastAsia" w:ascii="宋体" w:hAnsi="宋体" w:eastAsia="宋体" w:cs="宋体"/>
                      <w:b/>
                      <w:bCs/>
                      <w:color w:val="auto"/>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452" w:type="pct"/>
                  <w:tcBorders>
                    <w:tl2br w:val="nil"/>
                    <w:tr2bl w:val="nil"/>
                  </w:tcBorders>
                  <w:vAlign w:val="center"/>
                </w:tcPr>
                <w:p>
                  <w:pPr>
                    <w:jc w:val="center"/>
                    <w:rPr>
                      <w:rFonts w:hint="eastAsia" w:ascii="宋体" w:hAnsi="宋体" w:eastAsia="宋体" w:cs="宋体"/>
                      <w:color w:val="auto"/>
                    </w:rPr>
                  </w:pPr>
                  <w:r>
                    <w:rPr>
                      <w:rFonts w:hint="eastAsia" w:ascii="宋体" w:hAnsi="宋体" w:eastAsia="宋体" w:cs="宋体"/>
                      <w:color w:val="auto"/>
                    </w:rPr>
                    <w:t>主体工程</w:t>
                  </w:r>
                </w:p>
              </w:tc>
              <w:tc>
                <w:tcPr>
                  <w:tcW w:w="3828" w:type="pct"/>
                  <w:gridSpan w:val="2"/>
                  <w:tcBorders>
                    <w:tl2br w:val="nil"/>
                    <w:tr2bl w:val="nil"/>
                  </w:tcBorders>
                  <w:vAlign w:val="center"/>
                </w:tcPr>
                <w:p>
                  <w:pPr>
                    <w:jc w:val="center"/>
                    <w:rPr>
                      <w:rFonts w:hint="eastAsia" w:ascii="宋体" w:hAnsi="宋体" w:eastAsia="宋体" w:cs="宋体"/>
                      <w:color w:val="auto"/>
                      <w:lang w:val="en-US" w:eastAsia="zh-CN"/>
                    </w:rPr>
                  </w:pPr>
                  <w:r>
                    <w:rPr>
                      <w:rFonts w:hint="eastAsia" w:ascii="宋体" w:hAnsi="宋体" w:eastAsia="宋体" w:cs="宋体"/>
                      <w:color w:val="auto"/>
                      <w:lang w:val="en-US" w:eastAsia="zh-CN"/>
                    </w:rPr>
                    <w:t>将医院现有位于骨科楼一层加速器机房的1台Elekta Sy</w:t>
                  </w:r>
                  <w:r>
                    <w:rPr>
                      <w:rFonts w:hint="eastAsia" w:ascii="宋体" w:hAnsi="宋体" w:eastAsia="宋体" w:cs="宋体"/>
                      <w:color w:val="auto"/>
                      <w:sz w:val="21"/>
                      <w:szCs w:val="21"/>
                      <w:lang w:val="en-US" w:eastAsia="zh-CN"/>
                    </w:rPr>
                    <w:t>nergy型</w:t>
                  </w:r>
                  <w:r>
                    <w:rPr>
                      <w:rFonts w:hint="eastAsia" w:ascii="宋体" w:hAnsi="宋体" w:eastAsia="宋体" w:cs="宋体"/>
                      <w:color w:val="auto"/>
                      <w:sz w:val="21"/>
                      <w:szCs w:val="21"/>
                    </w:rPr>
                    <w:t>直线加速器</w:t>
                  </w:r>
                  <w:r>
                    <w:rPr>
                      <w:rFonts w:hint="eastAsia" w:ascii="宋体" w:hAnsi="宋体" w:eastAsia="宋体" w:cs="宋体"/>
                      <w:color w:val="auto"/>
                      <w:sz w:val="21"/>
                      <w:szCs w:val="21"/>
                      <w:lang w:val="en-US" w:eastAsia="zh-CN"/>
                    </w:rPr>
                    <w:t>移至新建加速器机房，新建加速器机房占地面积</w:t>
                  </w:r>
                  <w:r>
                    <w:rPr>
                      <w:rFonts w:hint="eastAsia" w:ascii="宋体" w:hAnsi="宋体" w:eastAsia="宋体" w:cs="宋体"/>
                      <w:color w:val="auto"/>
                      <w:sz w:val="21"/>
                      <w:szCs w:val="21"/>
                      <w:highlight w:val="none"/>
                      <w:lang w:val="en-US" w:eastAsia="zh-CN"/>
                    </w:rPr>
                    <w:t>165.608m</w:t>
                  </w:r>
                  <w:r>
                    <w:rPr>
                      <w:rFonts w:hint="eastAsia" w:ascii="宋体" w:hAnsi="宋体" w:eastAsia="宋体" w:cs="宋体"/>
                      <w:color w:val="auto"/>
                      <w:sz w:val="21"/>
                      <w:szCs w:val="21"/>
                      <w:highlight w:val="none"/>
                      <w:vertAlign w:val="superscript"/>
                      <w:lang w:val="en-US" w:eastAsia="zh-CN"/>
                    </w:rPr>
                    <w:t>2</w:t>
                  </w:r>
                </w:p>
              </w:tc>
              <w:tc>
                <w:tcPr>
                  <w:tcW w:w="719" w:type="pct"/>
                  <w:tcBorders>
                    <w:tl2br w:val="nil"/>
                    <w:tr2bl w:val="nil"/>
                  </w:tcBorders>
                  <w:vAlign w:val="center"/>
                </w:tcPr>
                <w:p>
                  <w:pPr>
                    <w:jc w:val="center"/>
                    <w:rPr>
                      <w:rFonts w:hint="eastAsia" w:ascii="宋体" w:hAnsi="宋体" w:eastAsia="宋体" w:cs="宋体"/>
                      <w:color w:val="auto"/>
                      <w:lang w:val="en-US" w:eastAsia="zh-CN"/>
                    </w:rPr>
                  </w:pPr>
                  <w:r>
                    <w:rPr>
                      <w:rFonts w:hint="eastAsia" w:ascii="宋体" w:hAnsi="宋体" w:eastAsia="宋体" w:cs="宋体"/>
                      <w:color w:val="auto"/>
                      <w:lang w:val="en-US" w:eastAsia="zh-CN"/>
                    </w:rPr>
                    <w:t>建筑</w:t>
                  </w:r>
                  <w:r>
                    <w:rPr>
                      <w:rFonts w:hint="eastAsia" w:ascii="宋体" w:hAnsi="宋体" w:eastAsia="宋体" w:cs="宋体"/>
                      <w:color w:val="auto"/>
                    </w:rPr>
                    <w:t>新建</w:t>
                  </w:r>
                  <w:r>
                    <w:rPr>
                      <w:rFonts w:hint="eastAsia" w:ascii="宋体" w:hAnsi="宋体" w:eastAsia="宋体" w:cs="宋体"/>
                      <w:color w:val="auto"/>
                      <w:lang w:eastAsia="zh-CN"/>
                    </w:rPr>
                    <w:t>，</w:t>
                  </w:r>
                  <w:r>
                    <w:rPr>
                      <w:rFonts w:hint="eastAsia" w:ascii="宋体" w:hAnsi="宋体" w:eastAsia="宋体" w:cs="宋体"/>
                      <w:color w:val="auto"/>
                      <w:lang w:val="en-US" w:eastAsia="zh-CN"/>
                    </w:rPr>
                    <w:t>设备移机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452" w:type="pct"/>
                  <w:tcBorders>
                    <w:tl2br w:val="nil"/>
                    <w:tr2bl w:val="nil"/>
                  </w:tcBorders>
                  <w:vAlign w:val="center"/>
                </w:tcPr>
                <w:p>
                  <w:pPr>
                    <w:jc w:val="center"/>
                    <w:rPr>
                      <w:rFonts w:hint="eastAsia" w:ascii="宋体" w:hAnsi="宋体" w:eastAsia="宋体" w:cs="宋体"/>
                      <w:color w:val="auto"/>
                    </w:rPr>
                  </w:pPr>
                  <w:r>
                    <w:rPr>
                      <w:rFonts w:hint="eastAsia" w:ascii="宋体" w:hAnsi="宋体" w:eastAsia="宋体" w:cs="宋体"/>
                      <w:color w:val="auto"/>
                    </w:rPr>
                    <w:t>辅助工程</w:t>
                  </w:r>
                </w:p>
              </w:tc>
              <w:tc>
                <w:tcPr>
                  <w:tcW w:w="3828" w:type="pct"/>
                  <w:gridSpan w:val="2"/>
                  <w:tcBorders>
                    <w:tl2br w:val="nil"/>
                    <w:tr2bl w:val="nil"/>
                  </w:tcBorders>
                  <w:vAlign w:val="center"/>
                </w:tcPr>
                <w:p>
                  <w:pPr>
                    <w:jc w:val="center"/>
                    <w:rPr>
                      <w:rFonts w:hint="eastAsia" w:ascii="宋体" w:hAnsi="宋体" w:eastAsia="宋体" w:cs="宋体"/>
                      <w:color w:val="auto"/>
                      <w:lang w:val="en-US" w:eastAsia="zh-CN"/>
                    </w:rPr>
                  </w:pPr>
                  <w:r>
                    <w:rPr>
                      <w:rFonts w:hint="eastAsia" w:ascii="宋体" w:hAnsi="宋体" w:eastAsia="宋体" w:cs="宋体"/>
                      <w:color w:val="auto"/>
                      <w:sz w:val="21"/>
                      <w:szCs w:val="21"/>
                      <w:lang w:val="en-US" w:eastAsia="zh-CN"/>
                    </w:rPr>
                    <w:t>配套建设控制室、设备机房、水冷机房等</w:t>
                  </w:r>
                </w:p>
              </w:tc>
              <w:tc>
                <w:tcPr>
                  <w:tcW w:w="719" w:type="pct"/>
                  <w:tcBorders>
                    <w:tl2br w:val="nil"/>
                    <w:tr2bl w:val="nil"/>
                  </w:tcBorders>
                  <w:vAlign w:val="center"/>
                </w:tcPr>
                <w:p>
                  <w:pPr>
                    <w:jc w:val="center"/>
                    <w:rPr>
                      <w:rFonts w:hint="eastAsia" w:ascii="宋体" w:hAnsi="宋体" w:eastAsia="宋体" w:cs="宋体"/>
                      <w:color w:val="auto"/>
                    </w:rPr>
                  </w:pPr>
                  <w:r>
                    <w:rPr>
                      <w:rFonts w:hint="eastAsia" w:ascii="宋体" w:hAnsi="宋体" w:eastAsia="宋体" w:cs="宋体"/>
                      <w:color w:val="auto"/>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452" w:type="pct"/>
                  <w:tcBorders>
                    <w:tl2br w:val="nil"/>
                    <w:tr2bl w:val="nil"/>
                  </w:tcBorders>
                  <w:vAlign w:val="center"/>
                </w:tcPr>
                <w:p>
                  <w:pPr>
                    <w:jc w:val="center"/>
                    <w:rPr>
                      <w:rFonts w:hint="eastAsia" w:ascii="宋体" w:hAnsi="宋体" w:eastAsia="宋体" w:cs="宋体"/>
                      <w:color w:val="auto"/>
                    </w:rPr>
                  </w:pPr>
                  <w:r>
                    <w:rPr>
                      <w:rFonts w:hint="eastAsia" w:ascii="宋体" w:hAnsi="宋体" w:eastAsia="宋体" w:cs="宋体"/>
                      <w:color w:val="auto"/>
                    </w:rPr>
                    <w:t>公用工程</w:t>
                  </w:r>
                </w:p>
              </w:tc>
              <w:tc>
                <w:tcPr>
                  <w:tcW w:w="3828" w:type="pct"/>
                  <w:gridSpan w:val="2"/>
                  <w:tcBorders>
                    <w:tl2br w:val="nil"/>
                    <w:tr2bl w:val="nil"/>
                  </w:tcBorders>
                  <w:vAlign w:val="center"/>
                </w:tcPr>
                <w:p>
                  <w:pPr>
                    <w:jc w:val="center"/>
                    <w:rPr>
                      <w:rFonts w:hint="eastAsia" w:ascii="宋体" w:hAnsi="宋体" w:eastAsia="宋体" w:cs="宋体"/>
                      <w:color w:val="auto"/>
                      <w:lang w:val="en-US" w:eastAsia="zh-CN"/>
                    </w:rPr>
                  </w:pPr>
                  <w:r>
                    <w:rPr>
                      <w:rFonts w:hint="eastAsia" w:ascii="宋体" w:hAnsi="宋体" w:eastAsia="宋体" w:cs="宋体"/>
                      <w:color w:val="auto"/>
                      <w:lang w:val="en-US" w:eastAsia="zh-CN"/>
                    </w:rPr>
                    <w:t>项目给排水、供电均依托医院现有</w:t>
                  </w:r>
                </w:p>
              </w:tc>
              <w:tc>
                <w:tcPr>
                  <w:tcW w:w="719" w:type="pct"/>
                  <w:tcBorders>
                    <w:tl2br w:val="nil"/>
                    <w:tr2bl w:val="nil"/>
                  </w:tcBorders>
                  <w:vAlign w:val="center"/>
                </w:tcPr>
                <w:p>
                  <w:pPr>
                    <w:jc w:val="center"/>
                    <w:rPr>
                      <w:rFonts w:hint="eastAsia" w:ascii="宋体" w:hAnsi="宋体" w:eastAsia="宋体" w:cs="宋体"/>
                      <w:color w:val="auto"/>
                    </w:rPr>
                  </w:pPr>
                  <w:r>
                    <w:rPr>
                      <w:rFonts w:hint="eastAsia" w:ascii="宋体" w:hAnsi="宋体" w:eastAsia="宋体" w:cs="宋体"/>
                      <w:color w:val="auto"/>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61" w:hRule="exact"/>
                <w:jc w:val="center"/>
              </w:trPr>
              <w:tc>
                <w:tcPr>
                  <w:tcW w:w="452" w:type="pct"/>
                  <w:vMerge w:val="restart"/>
                  <w:tcBorders>
                    <w:tl2br w:val="nil"/>
                    <w:tr2bl w:val="nil"/>
                  </w:tcBorders>
                  <w:vAlign w:val="center"/>
                </w:tcPr>
                <w:p>
                  <w:pPr>
                    <w:jc w:val="center"/>
                    <w:rPr>
                      <w:rFonts w:hint="eastAsia" w:ascii="宋体" w:hAnsi="宋体" w:eastAsia="宋体" w:cs="宋体"/>
                      <w:color w:val="auto"/>
                    </w:rPr>
                  </w:pPr>
                  <w:r>
                    <w:rPr>
                      <w:rFonts w:hint="eastAsia" w:ascii="宋体" w:hAnsi="宋体" w:eastAsia="宋体" w:cs="宋体"/>
                      <w:color w:val="auto"/>
                    </w:rPr>
                    <w:t>环保工程</w:t>
                  </w:r>
                </w:p>
              </w:tc>
              <w:tc>
                <w:tcPr>
                  <w:tcW w:w="467" w:type="pct"/>
                  <w:tcBorders>
                    <w:tl2br w:val="nil"/>
                    <w:tr2bl w:val="nil"/>
                  </w:tcBorders>
                  <w:vAlign w:val="center"/>
                </w:tcPr>
                <w:p>
                  <w:pPr>
                    <w:jc w:val="center"/>
                    <w:rPr>
                      <w:rFonts w:hint="eastAsia" w:ascii="宋体" w:hAnsi="宋体" w:eastAsia="宋体" w:cs="宋体"/>
                      <w:color w:val="auto"/>
                      <w:lang w:val="en-US" w:eastAsia="zh-CN"/>
                    </w:rPr>
                  </w:pPr>
                  <w:r>
                    <w:rPr>
                      <w:rFonts w:hint="eastAsia" w:ascii="宋体" w:hAnsi="宋体" w:eastAsia="宋体" w:cs="宋体"/>
                      <w:color w:val="auto"/>
                      <w:lang w:val="en-US" w:eastAsia="zh-CN"/>
                    </w:rPr>
                    <w:t>电离辐射</w:t>
                  </w:r>
                </w:p>
              </w:tc>
              <w:tc>
                <w:tcPr>
                  <w:tcW w:w="3360" w:type="pct"/>
                  <w:tcBorders>
                    <w:tl2br w:val="nil"/>
                    <w:tr2bl w:val="nil"/>
                  </w:tcBorders>
                  <w:vAlign w:val="center"/>
                </w:tcPr>
                <w:p>
                  <w:pPr>
                    <w:jc w:val="center"/>
                    <w:rPr>
                      <w:rFonts w:hint="eastAsia" w:ascii="宋体" w:hAnsi="宋体" w:eastAsia="宋体" w:cs="宋体"/>
                      <w:color w:val="auto"/>
                      <w:lang w:val="en-US" w:eastAsia="zh-CN"/>
                    </w:rPr>
                  </w:pPr>
                  <w:r>
                    <w:rPr>
                      <w:rFonts w:hint="eastAsia" w:ascii="宋体" w:hAnsi="宋体" w:eastAsia="宋体" w:cs="宋体"/>
                      <w:color w:val="auto"/>
                      <w:lang w:val="en-US" w:eastAsia="zh-CN"/>
                    </w:rPr>
                    <w:t>加速器机房采用实体屏蔽措施，墙壁均为混凝土结构，机房门采用20mmPb防护门；设置监控、对讲系统，设置门灯连锁和门机连锁装置，配备固定式</w:t>
                  </w:r>
                  <w:r>
                    <w:rPr>
                      <w:rFonts w:hint="eastAsia" w:ascii="宋体" w:hAnsi="宋体" w:eastAsia="宋体" w:cs="宋体"/>
                      <w:color w:val="auto"/>
                      <w:spacing w:val="16"/>
                      <w:kern w:val="0"/>
                      <w:sz w:val="21"/>
                      <w:szCs w:val="21"/>
                      <w:highlight w:val="none"/>
                      <w:vertAlign w:val="baseline"/>
                      <w:lang w:val="en-US" w:eastAsia="zh-CN"/>
                    </w:rPr>
                    <w:t>辐射剂量监测仪、个人剂量报警仪等设备。</w:t>
                  </w:r>
                </w:p>
              </w:tc>
              <w:tc>
                <w:tcPr>
                  <w:tcW w:w="719" w:type="pct"/>
                  <w:tcBorders>
                    <w:tl2br w:val="nil"/>
                    <w:tr2bl w:val="nil"/>
                  </w:tcBorders>
                  <w:vAlign w:val="center"/>
                </w:tcPr>
                <w:p>
                  <w:pPr>
                    <w:jc w:val="center"/>
                    <w:rPr>
                      <w:rFonts w:hint="eastAsia" w:ascii="宋体" w:hAnsi="宋体" w:eastAsia="宋体" w:cs="宋体"/>
                      <w:color w:val="auto"/>
                    </w:rPr>
                  </w:pPr>
                  <w:r>
                    <w:rPr>
                      <w:rFonts w:hint="eastAsia" w:ascii="宋体" w:hAnsi="宋体" w:eastAsia="宋体" w:cs="宋体"/>
                      <w:color w:val="auto"/>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61" w:hRule="exact"/>
                <w:jc w:val="center"/>
              </w:trPr>
              <w:tc>
                <w:tcPr>
                  <w:tcW w:w="452" w:type="pct"/>
                  <w:vMerge w:val="continue"/>
                  <w:tcBorders>
                    <w:tl2br w:val="nil"/>
                    <w:tr2bl w:val="nil"/>
                  </w:tcBorders>
                  <w:vAlign w:val="center"/>
                </w:tcPr>
                <w:p>
                  <w:pPr>
                    <w:jc w:val="center"/>
                    <w:rPr>
                      <w:rFonts w:hint="eastAsia" w:ascii="宋体" w:hAnsi="宋体" w:eastAsia="宋体" w:cs="宋体"/>
                      <w:color w:val="auto"/>
                    </w:rPr>
                  </w:pPr>
                </w:p>
              </w:tc>
              <w:tc>
                <w:tcPr>
                  <w:tcW w:w="467" w:type="pct"/>
                  <w:tcBorders>
                    <w:tl2br w:val="nil"/>
                    <w:tr2bl w:val="nil"/>
                  </w:tcBorders>
                  <w:vAlign w:val="center"/>
                </w:tcPr>
                <w:p>
                  <w:pPr>
                    <w:jc w:val="center"/>
                    <w:rPr>
                      <w:rFonts w:hint="eastAsia" w:ascii="宋体" w:hAnsi="宋体" w:eastAsia="宋体" w:cs="宋体"/>
                      <w:color w:val="auto"/>
                      <w:lang w:val="en-US" w:eastAsia="zh-CN"/>
                    </w:rPr>
                  </w:pPr>
                  <w:r>
                    <w:rPr>
                      <w:rFonts w:hint="eastAsia" w:ascii="宋体" w:hAnsi="宋体" w:eastAsia="宋体" w:cs="宋体"/>
                      <w:color w:val="auto"/>
                      <w:lang w:val="en-US" w:eastAsia="zh-CN"/>
                    </w:rPr>
                    <w:t>废气</w:t>
                  </w:r>
                </w:p>
              </w:tc>
              <w:tc>
                <w:tcPr>
                  <w:tcW w:w="3360" w:type="pct"/>
                  <w:tcBorders>
                    <w:tl2br w:val="nil"/>
                    <w:tr2bl w:val="nil"/>
                  </w:tcBorders>
                  <w:vAlign w:val="center"/>
                </w:tcPr>
                <w:p>
                  <w:pPr>
                    <w:jc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机房安装通风系统，通风次数大于4次/h，进风口设置在加速器机房的上部，排放口设置在加速器机房下部，臭氧（O</w:t>
                  </w:r>
                  <w:r>
                    <w:rPr>
                      <w:rFonts w:hint="eastAsia" w:ascii="宋体" w:hAnsi="宋体" w:eastAsia="宋体" w:cs="宋体"/>
                      <w:color w:val="auto"/>
                      <w:highlight w:val="none"/>
                      <w:vertAlign w:val="subscript"/>
                      <w:lang w:val="en-US" w:eastAsia="zh-CN"/>
                    </w:rPr>
                    <w:t>3</w:t>
                  </w:r>
                  <w:r>
                    <w:rPr>
                      <w:rFonts w:hint="eastAsia" w:ascii="宋体" w:hAnsi="宋体" w:eastAsia="宋体" w:cs="宋体"/>
                      <w:color w:val="auto"/>
                      <w:highlight w:val="none"/>
                      <w:lang w:val="en-US" w:eastAsia="zh-CN"/>
                    </w:rPr>
                    <w:t>）和氮氧化物（NO</w:t>
                  </w:r>
                  <w:r>
                    <w:rPr>
                      <w:rFonts w:hint="eastAsia" w:ascii="宋体" w:hAnsi="宋体" w:eastAsia="宋体" w:cs="宋体"/>
                      <w:color w:val="auto"/>
                      <w:highlight w:val="none"/>
                      <w:vertAlign w:val="subscript"/>
                      <w:lang w:val="en-US" w:eastAsia="zh-CN"/>
                    </w:rPr>
                    <w:t>X</w:t>
                  </w:r>
                  <w:r>
                    <w:rPr>
                      <w:rFonts w:hint="eastAsia" w:ascii="宋体" w:hAnsi="宋体" w:eastAsia="宋体" w:cs="宋体"/>
                      <w:color w:val="auto"/>
                      <w:highlight w:val="none"/>
                      <w:lang w:val="en-US" w:eastAsia="zh-CN"/>
                    </w:rPr>
                    <w:t>）产生量很少，通过通风系统排入外环境，排风口属于无组织排放，排风口高于机房所在建筑顶部。</w:t>
                  </w:r>
                </w:p>
              </w:tc>
              <w:tc>
                <w:tcPr>
                  <w:tcW w:w="719" w:type="pct"/>
                  <w:tcBorders>
                    <w:tl2br w:val="nil"/>
                    <w:tr2bl w:val="nil"/>
                  </w:tcBorders>
                  <w:vAlign w:val="center"/>
                </w:tcPr>
                <w:p>
                  <w:pPr>
                    <w:jc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52" w:type="pct"/>
                  <w:vMerge w:val="continue"/>
                  <w:tcBorders>
                    <w:tl2br w:val="nil"/>
                    <w:tr2bl w:val="nil"/>
                  </w:tcBorders>
                  <w:vAlign w:val="center"/>
                </w:tcPr>
                <w:p>
                  <w:pPr>
                    <w:jc w:val="center"/>
                    <w:rPr>
                      <w:rFonts w:hint="eastAsia" w:ascii="宋体" w:hAnsi="宋体" w:eastAsia="宋体" w:cs="宋体"/>
                      <w:color w:val="auto"/>
                    </w:rPr>
                  </w:pPr>
                </w:p>
              </w:tc>
              <w:tc>
                <w:tcPr>
                  <w:tcW w:w="467" w:type="pct"/>
                  <w:tcBorders>
                    <w:tl2br w:val="nil"/>
                    <w:tr2bl w:val="nil"/>
                  </w:tcBorders>
                  <w:vAlign w:val="center"/>
                </w:tcPr>
                <w:p>
                  <w:pPr>
                    <w:jc w:val="center"/>
                    <w:rPr>
                      <w:rFonts w:hint="eastAsia" w:ascii="宋体" w:hAnsi="宋体" w:eastAsia="宋体" w:cs="宋体"/>
                      <w:color w:val="auto"/>
                      <w:lang w:val="en-US" w:eastAsia="zh-CN"/>
                    </w:rPr>
                  </w:pPr>
                  <w:r>
                    <w:rPr>
                      <w:rFonts w:hint="eastAsia" w:ascii="宋体" w:hAnsi="宋体" w:eastAsia="宋体" w:cs="宋体"/>
                      <w:color w:val="auto"/>
                      <w:lang w:val="en-US" w:eastAsia="zh-CN"/>
                    </w:rPr>
                    <w:t>废水</w:t>
                  </w:r>
                </w:p>
              </w:tc>
              <w:tc>
                <w:tcPr>
                  <w:tcW w:w="3360" w:type="pct"/>
                  <w:tcBorders>
                    <w:tl2br w:val="nil"/>
                    <w:tr2bl w:val="nil"/>
                  </w:tcBorders>
                  <w:vAlign w:val="center"/>
                </w:tcPr>
                <w:p>
                  <w:pPr>
                    <w:jc w:val="center"/>
                    <w:rPr>
                      <w:rFonts w:hint="eastAsia" w:ascii="宋体" w:hAnsi="宋体" w:eastAsia="宋体" w:cs="宋体"/>
                      <w:color w:val="auto"/>
                      <w:lang w:val="en-US" w:eastAsia="zh-CN"/>
                    </w:rPr>
                  </w:pPr>
                  <w:r>
                    <w:rPr>
                      <w:rFonts w:hint="eastAsia" w:ascii="宋体" w:hAnsi="宋体" w:eastAsia="宋体" w:cs="宋体"/>
                      <w:color w:val="auto"/>
                      <w:lang w:val="en-US" w:eastAsia="zh-CN"/>
                    </w:rPr>
                    <w:t>生活污水利用现有的污水处理系统进行处置</w:t>
                  </w:r>
                </w:p>
              </w:tc>
              <w:tc>
                <w:tcPr>
                  <w:tcW w:w="719" w:type="pct"/>
                  <w:tcBorders>
                    <w:tl2br w:val="nil"/>
                    <w:tr2bl w:val="nil"/>
                  </w:tcBorders>
                  <w:vAlign w:val="center"/>
                </w:tcPr>
                <w:p>
                  <w:pPr>
                    <w:jc w:val="center"/>
                    <w:rPr>
                      <w:rFonts w:hint="eastAsia" w:ascii="宋体" w:hAnsi="宋体" w:eastAsia="宋体" w:cs="宋体"/>
                      <w:color w:val="auto"/>
                      <w:lang w:val="en-US" w:eastAsia="zh-CN"/>
                    </w:rPr>
                  </w:pPr>
                  <w:r>
                    <w:rPr>
                      <w:rFonts w:hint="eastAsia" w:ascii="宋体" w:hAnsi="宋体" w:eastAsia="宋体" w:cs="宋体"/>
                      <w:color w:val="auto"/>
                      <w:lang w:val="en-US" w:eastAsia="zh-CN"/>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61" w:hRule="exact"/>
                <w:jc w:val="center"/>
              </w:trPr>
              <w:tc>
                <w:tcPr>
                  <w:tcW w:w="452" w:type="pct"/>
                  <w:vMerge w:val="continue"/>
                  <w:tcBorders>
                    <w:tl2br w:val="nil"/>
                    <w:tr2bl w:val="nil"/>
                  </w:tcBorders>
                  <w:vAlign w:val="center"/>
                </w:tcPr>
                <w:p>
                  <w:pPr>
                    <w:jc w:val="center"/>
                    <w:rPr>
                      <w:rFonts w:hint="eastAsia" w:ascii="宋体" w:hAnsi="宋体" w:eastAsia="宋体" w:cs="宋体"/>
                      <w:color w:val="auto"/>
                    </w:rPr>
                  </w:pPr>
                </w:p>
              </w:tc>
              <w:tc>
                <w:tcPr>
                  <w:tcW w:w="467" w:type="pct"/>
                  <w:tcBorders>
                    <w:tl2br w:val="nil"/>
                    <w:tr2bl w:val="nil"/>
                  </w:tcBorders>
                  <w:vAlign w:val="center"/>
                </w:tcPr>
                <w:p>
                  <w:pPr>
                    <w:jc w:val="center"/>
                    <w:rPr>
                      <w:rFonts w:hint="eastAsia" w:ascii="宋体" w:hAnsi="宋体" w:eastAsia="宋体" w:cs="宋体"/>
                      <w:color w:val="auto"/>
                      <w:lang w:val="en-US" w:eastAsia="zh-CN"/>
                    </w:rPr>
                  </w:pPr>
                  <w:r>
                    <w:rPr>
                      <w:rFonts w:hint="eastAsia" w:ascii="宋体" w:hAnsi="宋体" w:eastAsia="宋体" w:cs="宋体"/>
                      <w:color w:val="auto"/>
                      <w:lang w:val="en-US" w:eastAsia="zh-CN"/>
                    </w:rPr>
                    <w:t>固废</w:t>
                  </w:r>
                </w:p>
              </w:tc>
              <w:tc>
                <w:tcPr>
                  <w:tcW w:w="3360" w:type="pct"/>
                  <w:tcBorders>
                    <w:tl2br w:val="nil"/>
                    <w:tr2bl w:val="nil"/>
                  </w:tcBorders>
                  <w:vAlign w:val="center"/>
                </w:tcPr>
                <w:p>
                  <w:pPr>
                    <w:jc w:val="center"/>
                    <w:rPr>
                      <w:rFonts w:hint="eastAsia" w:ascii="宋体" w:hAnsi="宋体" w:eastAsia="宋体" w:cs="宋体"/>
                      <w:color w:val="auto"/>
                    </w:rPr>
                  </w:pPr>
                  <w:r>
                    <w:rPr>
                      <w:rFonts w:hint="eastAsia" w:ascii="宋体" w:hAnsi="宋体" w:eastAsia="宋体" w:cs="宋体"/>
                      <w:color w:val="auto"/>
                      <w:lang w:val="en-US" w:eastAsia="zh-CN"/>
                    </w:rPr>
                    <w:t>更换下来的废靶件送黑龙江省城市放射性废物贮存库；产生的少量医疗废物暂存于现有医疗废物暂存间，交由资质单位处置；生活垃圾依托医院原有设施，统一收集后交由环卫部门统一处理。</w:t>
                  </w:r>
                </w:p>
              </w:tc>
              <w:tc>
                <w:tcPr>
                  <w:tcW w:w="719" w:type="pct"/>
                  <w:tcBorders>
                    <w:tl2br w:val="nil"/>
                    <w:tr2bl w:val="nil"/>
                  </w:tcBorders>
                  <w:vAlign w:val="center"/>
                </w:tcPr>
                <w:p>
                  <w:pPr>
                    <w:jc w:val="center"/>
                    <w:rPr>
                      <w:rFonts w:hint="eastAsia" w:ascii="宋体" w:hAnsi="宋体" w:eastAsia="宋体" w:cs="宋体"/>
                      <w:color w:val="auto"/>
                      <w:lang w:val="en-US" w:eastAsia="zh-CN"/>
                    </w:rPr>
                  </w:pPr>
                  <w:r>
                    <w:rPr>
                      <w:rFonts w:hint="eastAsia" w:ascii="宋体" w:hAnsi="宋体" w:eastAsia="宋体" w:cs="宋体"/>
                      <w:color w:val="auto"/>
                      <w:lang w:val="en-US" w:eastAsia="zh-CN"/>
                    </w:rPr>
                    <w:t>依托</w:t>
                  </w:r>
                </w:p>
              </w:tc>
            </w:tr>
          </w:tbl>
          <w:p>
            <w:pPr>
              <w:autoSpaceDE w:val="0"/>
              <w:autoSpaceDN w:val="0"/>
              <w:adjustRightInd w:val="0"/>
              <w:snapToGrid w:val="0"/>
              <w:spacing w:line="360" w:lineRule="auto"/>
              <w:jc w:val="left"/>
              <w:rPr>
                <w:rFonts w:hint="eastAsia" w:ascii="宋体" w:hAnsi="宋体" w:eastAsia="宋体" w:cs="宋体"/>
                <w:color w:val="auto"/>
                <w:kern w:val="0"/>
                <w:sz w:val="24"/>
                <w:szCs w:val="24"/>
                <w:highlight w:val="none"/>
                <w:lang w:val="en-US" w:eastAsia="zh-CN"/>
              </w:rPr>
            </w:pPr>
            <w:r>
              <w:rPr>
                <w:rFonts w:hint="eastAsia" w:ascii="宋体" w:hAnsi="宋体" w:eastAsia="宋体" w:cs="宋体"/>
                <w:b/>
                <w:color w:val="auto"/>
                <w:sz w:val="24"/>
                <w:highlight w:val="none"/>
                <w:lang w:val="en-US" w:eastAsia="zh-CN"/>
              </w:rPr>
              <w:t>1.3“三线一单”符合性分析</w:t>
            </w:r>
          </w:p>
          <w:p>
            <w:pPr>
              <w:adjustRightInd w:val="0"/>
              <w:snapToGrid w:val="0"/>
              <w:spacing w:line="360" w:lineRule="auto"/>
              <w:ind w:firstLine="480" w:firstLineChars="200"/>
              <w:rPr>
                <w:rFonts w:hint="eastAsia" w:ascii="宋体" w:hAnsi="宋体" w:eastAsia="宋体" w:cs="宋体"/>
                <w:color w:val="0000FF"/>
                <w:sz w:val="24"/>
                <w:szCs w:val="21"/>
                <w:highlight w:val="none"/>
              </w:rPr>
            </w:pPr>
            <w:r>
              <w:rPr>
                <w:rFonts w:hint="eastAsia" w:ascii="宋体" w:hAnsi="宋体" w:eastAsia="宋体" w:cs="宋体"/>
                <w:snapToGrid w:val="0"/>
                <w:color w:val="auto"/>
                <w:kern w:val="0"/>
                <w:sz w:val="24"/>
                <w:highlight w:val="none"/>
              </w:rPr>
              <w:t>本项目位于</w:t>
            </w:r>
            <w:r>
              <w:rPr>
                <w:rFonts w:hint="eastAsia" w:ascii="宋体" w:hAnsi="宋体" w:eastAsia="宋体" w:cs="宋体"/>
                <w:color w:val="auto"/>
                <w:kern w:val="0"/>
                <w:sz w:val="24"/>
                <w:highlight w:val="none"/>
              </w:rPr>
              <w:t>黑龙江省双鸭山市尖山区</w:t>
            </w:r>
            <w:r>
              <w:rPr>
                <w:rFonts w:hint="eastAsia" w:ascii="宋体" w:hAnsi="宋体" w:eastAsia="宋体" w:cs="宋体"/>
                <w:color w:val="auto"/>
                <w:sz w:val="24"/>
                <w:szCs w:val="24"/>
                <w:highlight w:val="none"/>
                <w:lang w:eastAsia="zh-CN"/>
              </w:rPr>
              <w:t>新兴大街200号</w:t>
            </w:r>
            <w:r>
              <w:rPr>
                <w:rFonts w:hint="eastAsia" w:ascii="宋体" w:hAnsi="宋体" w:eastAsia="宋体" w:cs="宋体"/>
                <w:snapToGrid w:val="0"/>
                <w:color w:val="auto"/>
                <w:kern w:val="0"/>
                <w:sz w:val="24"/>
                <w:highlight w:val="none"/>
              </w:rPr>
              <w:t>，</w:t>
            </w:r>
            <w:r>
              <w:rPr>
                <w:rFonts w:hint="eastAsia" w:ascii="宋体" w:hAnsi="宋体" w:eastAsia="宋体" w:cs="宋体"/>
                <w:i w:val="0"/>
                <w:iCs w:val="0"/>
                <w:snapToGrid w:val="0"/>
                <w:color w:val="auto"/>
                <w:kern w:val="0"/>
                <w:sz w:val="24"/>
                <w:highlight w:val="none"/>
              </w:rPr>
              <w:t>生态保护红线为一般管控区</w:t>
            </w:r>
            <w:r>
              <w:rPr>
                <w:rFonts w:hint="eastAsia" w:ascii="宋体" w:hAnsi="宋体" w:eastAsia="宋体" w:cs="宋体"/>
                <w:snapToGrid w:val="0"/>
                <w:color w:val="auto"/>
                <w:kern w:val="0"/>
                <w:sz w:val="24"/>
                <w:highlight w:val="none"/>
              </w:rPr>
              <w:t>，环境质量底线大气环境为</w:t>
            </w:r>
            <w:r>
              <w:rPr>
                <w:rFonts w:hint="eastAsia" w:ascii="宋体" w:hAnsi="宋体" w:eastAsia="宋体" w:cs="宋体"/>
                <w:snapToGrid w:val="0"/>
                <w:color w:val="auto"/>
                <w:kern w:val="0"/>
                <w:sz w:val="24"/>
                <w:highlight w:val="none"/>
                <w:lang w:eastAsia="zh-CN"/>
              </w:rPr>
              <w:t>布局敏感重点管控区、大气环境受体敏感重点管控区</w:t>
            </w:r>
            <w:r>
              <w:rPr>
                <w:rFonts w:hint="eastAsia" w:ascii="宋体" w:hAnsi="宋体" w:eastAsia="宋体" w:cs="宋体"/>
                <w:snapToGrid w:val="0"/>
                <w:color w:val="auto"/>
                <w:kern w:val="0"/>
                <w:sz w:val="24"/>
                <w:highlight w:val="none"/>
              </w:rPr>
              <w:t>，土壤为一般管控区，水环境为</w:t>
            </w:r>
            <w:r>
              <w:rPr>
                <w:rFonts w:hint="eastAsia" w:ascii="宋体" w:hAnsi="宋体" w:eastAsia="宋体" w:cs="宋体"/>
                <w:snapToGrid w:val="0"/>
                <w:color w:val="auto"/>
                <w:kern w:val="0"/>
                <w:sz w:val="24"/>
                <w:highlight w:val="none"/>
                <w:lang w:eastAsia="zh-CN"/>
              </w:rPr>
              <w:t>一般</w:t>
            </w:r>
            <w:r>
              <w:rPr>
                <w:rFonts w:hint="eastAsia" w:ascii="宋体" w:hAnsi="宋体" w:eastAsia="宋体" w:cs="宋体"/>
                <w:snapToGrid w:val="0"/>
                <w:color w:val="auto"/>
                <w:kern w:val="0"/>
                <w:sz w:val="24"/>
                <w:highlight w:val="none"/>
              </w:rPr>
              <w:t>管控区，资源利用上线为高污染燃料禁燃区，生态环境准入清单应满足</w:t>
            </w:r>
            <w:r>
              <w:rPr>
                <w:rFonts w:hint="eastAsia" w:ascii="宋体" w:hAnsi="宋体" w:eastAsia="宋体" w:cs="宋体"/>
                <w:snapToGrid w:val="0"/>
                <w:color w:val="auto"/>
                <w:kern w:val="0"/>
                <w:sz w:val="24"/>
                <w:highlight w:val="none"/>
                <w:lang w:eastAsia="zh-CN"/>
              </w:rPr>
              <w:t>尖山区城镇空间重点</w:t>
            </w:r>
            <w:r>
              <w:rPr>
                <w:rFonts w:hint="eastAsia" w:ascii="宋体" w:hAnsi="宋体" w:eastAsia="宋体" w:cs="宋体"/>
                <w:snapToGrid w:val="0"/>
                <w:color w:val="auto"/>
                <w:kern w:val="0"/>
                <w:sz w:val="24"/>
                <w:highlight w:val="none"/>
              </w:rPr>
              <w:t>管控单元要求</w:t>
            </w:r>
            <w:r>
              <w:rPr>
                <w:rFonts w:hint="eastAsia" w:ascii="宋体" w:hAnsi="宋体" w:eastAsia="宋体" w:cs="宋体"/>
                <w:color w:val="auto"/>
                <w:sz w:val="24"/>
                <w:szCs w:val="21"/>
                <w:highlight w:val="none"/>
                <w:lang w:bidi="ar"/>
              </w:rPr>
              <w:t>。</w:t>
            </w:r>
          </w:p>
          <w:p>
            <w:pPr>
              <w:adjustRightInd w:val="0"/>
              <w:snapToGrid w:val="0"/>
              <w:spacing w:line="360" w:lineRule="auto"/>
              <w:ind w:firstLine="480" w:firstLineChars="200"/>
              <w:rPr>
                <w:rFonts w:hint="eastAsia" w:ascii="宋体" w:hAnsi="宋体" w:eastAsia="宋体" w:cs="宋体"/>
                <w:color w:val="auto"/>
                <w:kern w:val="0"/>
                <w:sz w:val="24"/>
                <w:szCs w:val="24"/>
                <w:highlight w:val="none"/>
                <w:lang w:val="en-US" w:eastAsia="zh-CN" w:bidi="ar"/>
              </w:rPr>
            </w:pPr>
            <w:r>
              <w:rPr>
                <w:rFonts w:hint="eastAsia" w:ascii="宋体" w:hAnsi="宋体" w:eastAsia="宋体" w:cs="宋体"/>
                <w:color w:val="auto"/>
                <w:kern w:val="0"/>
                <w:sz w:val="24"/>
                <w:szCs w:val="24"/>
                <w:highlight w:val="none"/>
                <w:lang w:val="en-US" w:eastAsia="zh-CN" w:bidi="ar"/>
              </w:rPr>
              <w:t>1）生态保护红线</w:t>
            </w:r>
          </w:p>
          <w:p>
            <w:pPr>
              <w:adjustRightInd w:val="0"/>
              <w:snapToGrid w:val="0"/>
              <w:spacing w:line="360" w:lineRule="auto"/>
              <w:ind w:firstLine="480" w:firstLineChars="200"/>
              <w:rPr>
                <w:rFonts w:hint="eastAsia" w:ascii="宋体" w:hAnsi="宋体" w:eastAsia="宋体" w:cs="宋体"/>
                <w:color w:val="auto"/>
                <w:highlight w:val="none"/>
              </w:rPr>
            </w:pPr>
            <w:r>
              <w:rPr>
                <w:rFonts w:hint="eastAsia" w:ascii="宋体" w:hAnsi="宋体" w:eastAsia="宋体" w:cs="宋体"/>
                <w:color w:val="auto"/>
                <w:kern w:val="0"/>
                <w:sz w:val="24"/>
                <w:szCs w:val="24"/>
                <w:highlight w:val="none"/>
                <w:lang w:val="en-US" w:eastAsia="zh-CN" w:bidi="ar"/>
              </w:rPr>
              <w:t>本项目位于</w:t>
            </w:r>
            <w:r>
              <w:rPr>
                <w:rFonts w:hint="eastAsia" w:ascii="宋体" w:hAnsi="宋体" w:eastAsia="宋体" w:cs="宋体"/>
                <w:color w:val="auto"/>
                <w:sz w:val="24"/>
                <w:szCs w:val="24"/>
                <w:highlight w:val="none"/>
                <w:lang w:val="en-US" w:eastAsia="zh-CN"/>
              </w:rPr>
              <w:t>黑龙江省双鸭山市尖山区新兴大街200号</w:t>
            </w:r>
            <w:r>
              <w:rPr>
                <w:rFonts w:hint="eastAsia" w:ascii="宋体" w:hAnsi="宋体" w:eastAsia="宋体" w:cs="宋体"/>
                <w:color w:val="auto"/>
                <w:kern w:val="0"/>
                <w:sz w:val="24"/>
                <w:szCs w:val="24"/>
                <w:highlight w:val="none"/>
                <w:lang w:val="en-US" w:eastAsia="zh-CN" w:bidi="ar"/>
              </w:rPr>
              <w:t>，土地性质为医疗卫生用地，本项目符合三区三线要求，本项目选址不在生态保护红线范围内。</w:t>
            </w:r>
            <w:r>
              <w:rPr>
                <w:rFonts w:hint="eastAsia" w:ascii="宋体" w:hAnsi="宋体" w:eastAsia="宋体" w:cs="宋体"/>
                <w:color w:val="auto"/>
                <w:sz w:val="24"/>
              </w:rPr>
              <w:t>本项目所在区域内无自然保护区、风景名胜区、水源地保护区、野生动植物保护区及重要湿地分布，本项目选址不在特殊重要生态功能区域内，</w:t>
            </w:r>
            <w:r>
              <w:rPr>
                <w:rFonts w:hint="eastAsia" w:ascii="宋体" w:hAnsi="宋体" w:eastAsia="宋体" w:cs="宋体"/>
                <w:color w:val="auto"/>
                <w:sz w:val="24"/>
                <w:lang w:val="en-US" w:eastAsia="zh-CN"/>
              </w:rPr>
              <w:t>符合生态保护红线的要求</w:t>
            </w:r>
            <w:r>
              <w:rPr>
                <w:rFonts w:hint="eastAsia" w:ascii="宋体" w:hAnsi="宋体" w:eastAsia="宋体" w:cs="宋体"/>
                <w:color w:val="auto"/>
                <w:kern w:val="0"/>
                <w:sz w:val="24"/>
                <w:szCs w:val="24"/>
                <w:highlight w:val="none"/>
                <w:lang w:val="en-US" w:eastAsia="zh-CN" w:bidi="ar"/>
              </w:rPr>
              <w:t>。</w:t>
            </w:r>
          </w:p>
          <w:p>
            <w:pPr>
              <w:adjustRightInd w:val="0"/>
              <w:snapToGrid w:val="0"/>
              <w:spacing w:line="360" w:lineRule="auto"/>
              <w:ind w:firstLine="480" w:firstLineChars="200"/>
              <w:rPr>
                <w:rFonts w:hint="eastAsia" w:ascii="宋体" w:hAnsi="宋体" w:eastAsia="宋体" w:cs="宋体"/>
                <w:color w:val="auto"/>
                <w:kern w:val="0"/>
                <w:sz w:val="24"/>
                <w:szCs w:val="24"/>
                <w:highlight w:val="none"/>
                <w:lang w:val="en-US" w:eastAsia="zh-CN" w:bidi="ar"/>
              </w:rPr>
            </w:pPr>
            <w:r>
              <w:rPr>
                <w:rFonts w:hint="eastAsia" w:ascii="宋体" w:hAnsi="宋体" w:eastAsia="宋体" w:cs="宋体"/>
                <w:color w:val="auto"/>
                <w:kern w:val="0"/>
                <w:sz w:val="24"/>
                <w:szCs w:val="24"/>
                <w:highlight w:val="none"/>
                <w:lang w:val="en-US" w:eastAsia="zh-CN" w:bidi="ar"/>
              </w:rPr>
              <w:t>2）环境质量底线</w:t>
            </w:r>
          </w:p>
          <w:p>
            <w:pPr>
              <w:adjustRightInd w:val="0"/>
              <w:snapToGrid w:val="0"/>
              <w:spacing w:line="360" w:lineRule="auto"/>
              <w:ind w:firstLine="480" w:firstLineChars="200"/>
              <w:rPr>
                <w:rFonts w:hint="eastAsia" w:ascii="宋体" w:hAnsi="宋体" w:eastAsia="宋体" w:cs="宋体"/>
                <w:color w:val="auto"/>
                <w:kern w:val="0"/>
                <w:sz w:val="24"/>
                <w:szCs w:val="24"/>
                <w:highlight w:val="none"/>
                <w:lang w:val="en-US" w:eastAsia="zh-CN" w:bidi="ar"/>
              </w:rPr>
            </w:pPr>
            <w:r>
              <w:rPr>
                <w:rFonts w:hint="eastAsia" w:ascii="宋体" w:hAnsi="宋体" w:eastAsia="宋体" w:cs="宋体"/>
                <w:color w:val="auto"/>
                <w:kern w:val="0"/>
                <w:sz w:val="24"/>
                <w:szCs w:val="24"/>
                <w:highlight w:val="none"/>
                <w:lang w:val="en-US" w:eastAsia="zh-CN" w:bidi="ar"/>
              </w:rPr>
              <w:t>根据环境质量现状监测结果，本项目周围环境γ辐射空气吸收剂量率属于正常本底范围。在落实本环评提出的各项污染防治措施后，不会对周围环境产生不良影响，基本能维持周边环境质量现状，满足该区域环境质量功能要求，不触及环境质量底线。</w:t>
            </w:r>
          </w:p>
          <w:p>
            <w:pPr>
              <w:adjustRightInd w:val="0"/>
              <w:snapToGrid w:val="0"/>
              <w:spacing w:line="360" w:lineRule="auto"/>
              <w:ind w:firstLine="480" w:firstLineChars="200"/>
              <w:rPr>
                <w:rFonts w:hint="eastAsia" w:ascii="宋体" w:hAnsi="宋体" w:eastAsia="宋体" w:cs="宋体"/>
                <w:color w:val="auto"/>
                <w:kern w:val="0"/>
                <w:sz w:val="24"/>
                <w:szCs w:val="24"/>
                <w:highlight w:val="none"/>
                <w:lang w:val="en-US" w:eastAsia="zh-CN" w:bidi="ar"/>
              </w:rPr>
            </w:pPr>
            <w:r>
              <w:rPr>
                <w:rFonts w:hint="eastAsia" w:ascii="宋体" w:hAnsi="宋体" w:eastAsia="宋体" w:cs="宋体"/>
                <w:color w:val="auto"/>
                <w:kern w:val="0"/>
                <w:sz w:val="24"/>
                <w:szCs w:val="24"/>
                <w:highlight w:val="none"/>
                <w:lang w:val="en-US" w:eastAsia="zh-CN" w:bidi="ar"/>
              </w:rPr>
              <w:t>3）资源利用上线</w:t>
            </w:r>
          </w:p>
          <w:p>
            <w:pPr>
              <w:adjustRightInd w:val="0"/>
              <w:snapToGrid w:val="0"/>
              <w:spacing w:line="360" w:lineRule="auto"/>
              <w:ind w:firstLine="480" w:firstLineChars="200"/>
              <w:rPr>
                <w:rFonts w:hint="eastAsia" w:ascii="宋体" w:hAnsi="宋体" w:eastAsia="宋体" w:cs="宋体"/>
                <w:color w:val="auto"/>
                <w:kern w:val="0"/>
                <w:sz w:val="24"/>
                <w:szCs w:val="24"/>
                <w:highlight w:val="none"/>
                <w:lang w:val="en-US" w:eastAsia="zh-CN" w:bidi="ar"/>
              </w:rPr>
            </w:pPr>
            <w:r>
              <w:rPr>
                <w:rFonts w:hint="eastAsia" w:ascii="宋体" w:hAnsi="宋体" w:eastAsia="宋体" w:cs="宋体"/>
                <w:color w:val="auto"/>
                <w:kern w:val="0"/>
                <w:sz w:val="24"/>
                <w:szCs w:val="24"/>
                <w:highlight w:val="none"/>
                <w:lang w:val="en-US" w:eastAsia="zh-CN" w:bidi="ar"/>
              </w:rPr>
              <w:t>本项目为核技术利用项目，位于双鸭山双矿医院现有院区内，不新增占地。本项目无新增生活用水，水源来自市政供水管网，能耗为市政电能，故本项目资源在区域承载能力范围内，满足资源利用上线要求。</w:t>
            </w:r>
          </w:p>
          <w:p>
            <w:pPr>
              <w:adjustRightInd w:val="0"/>
              <w:snapToGrid w:val="0"/>
              <w:spacing w:line="360" w:lineRule="auto"/>
              <w:ind w:firstLine="480" w:firstLineChars="200"/>
              <w:jc w:val="left"/>
              <w:rPr>
                <w:rFonts w:hint="eastAsia" w:ascii="宋体" w:hAnsi="宋体" w:eastAsia="宋体" w:cs="宋体"/>
                <w:snapToGrid w:val="0"/>
                <w:color w:val="auto"/>
                <w:kern w:val="0"/>
                <w:sz w:val="24"/>
                <w:szCs w:val="21"/>
                <w:highlight w:val="none"/>
              </w:rPr>
            </w:pPr>
            <w:r>
              <w:rPr>
                <w:rFonts w:hint="eastAsia" w:ascii="宋体" w:hAnsi="宋体" w:eastAsia="宋体" w:cs="宋体"/>
                <w:color w:val="auto"/>
                <w:sz w:val="24"/>
                <w:highlight w:val="none"/>
              </w:rPr>
              <w:t>4）</w:t>
            </w:r>
            <w:r>
              <w:rPr>
                <w:rFonts w:hint="eastAsia" w:ascii="宋体" w:hAnsi="宋体" w:eastAsia="宋体" w:cs="宋体"/>
                <w:snapToGrid w:val="0"/>
                <w:color w:val="auto"/>
                <w:kern w:val="0"/>
                <w:sz w:val="24"/>
                <w:szCs w:val="21"/>
                <w:highlight w:val="none"/>
              </w:rPr>
              <w:t>生态环境准入清单</w:t>
            </w:r>
          </w:p>
          <w:p>
            <w:pPr>
              <w:adjustRightInd w:val="0"/>
              <w:snapToGrid w:val="0"/>
              <w:spacing w:line="360" w:lineRule="auto"/>
              <w:ind w:firstLine="480" w:firstLineChars="200"/>
              <w:rPr>
                <w:rFonts w:hint="eastAsia" w:ascii="宋体" w:hAnsi="宋体" w:eastAsia="宋体" w:cs="宋体"/>
                <w:color w:val="auto"/>
                <w:kern w:val="0"/>
                <w:sz w:val="24"/>
                <w:szCs w:val="24"/>
                <w:highlight w:val="none"/>
                <w:lang w:val="en-US" w:eastAsia="zh-CN" w:bidi="ar"/>
              </w:rPr>
            </w:pPr>
            <w:r>
              <w:rPr>
                <w:rFonts w:hint="eastAsia" w:ascii="宋体" w:hAnsi="宋体" w:eastAsia="宋体" w:cs="宋体"/>
                <w:color w:val="auto"/>
                <w:kern w:val="0"/>
                <w:sz w:val="24"/>
                <w:szCs w:val="24"/>
                <w:highlight w:val="none"/>
                <w:lang w:val="en-US" w:eastAsia="zh-CN" w:bidi="ar"/>
              </w:rPr>
              <w:t>本项目位于双鸭山市尖山区新兴大街200号，本项目与双鸭山市尖山区生态环境准入清单对照情况见下表。</w:t>
            </w:r>
          </w:p>
          <w:p>
            <w:pPr>
              <w:autoSpaceDE w:val="0"/>
              <w:autoSpaceDN w:val="0"/>
              <w:adjustRightInd w:val="0"/>
              <w:snapToGrid w:val="0"/>
              <w:spacing w:line="240" w:lineRule="auto"/>
              <w:jc w:val="center"/>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表1</w:t>
            </w:r>
            <w:r>
              <w:rPr>
                <w:rFonts w:hint="eastAsia" w:ascii="宋体" w:hAnsi="宋体" w:eastAsia="宋体" w:cs="宋体"/>
                <w:b/>
                <w:bCs/>
                <w:color w:val="auto"/>
                <w:sz w:val="21"/>
                <w:szCs w:val="21"/>
                <w:highlight w:val="none"/>
                <w:lang w:val="en-US" w:eastAsia="zh-CN"/>
              </w:rPr>
              <w:t xml:space="preserve">-5 </w:t>
            </w:r>
            <w:r>
              <w:rPr>
                <w:rFonts w:hint="eastAsia" w:ascii="宋体" w:hAnsi="宋体" w:eastAsia="宋体" w:cs="宋体"/>
                <w:b/>
                <w:bCs/>
                <w:color w:val="auto"/>
                <w:sz w:val="21"/>
                <w:szCs w:val="21"/>
                <w:highlight w:val="none"/>
                <w:lang w:eastAsia="zh-CN"/>
              </w:rPr>
              <w:t>双鸭山市</w:t>
            </w:r>
            <w:r>
              <w:rPr>
                <w:rFonts w:hint="eastAsia" w:ascii="宋体" w:hAnsi="宋体" w:eastAsia="宋体" w:cs="宋体"/>
                <w:b/>
                <w:bCs/>
                <w:color w:val="auto"/>
                <w:kern w:val="0"/>
                <w:sz w:val="21"/>
                <w:szCs w:val="21"/>
                <w:highlight w:val="none"/>
              </w:rPr>
              <w:t>尖山区</w:t>
            </w:r>
            <w:r>
              <w:rPr>
                <w:rFonts w:hint="eastAsia" w:ascii="宋体" w:hAnsi="宋体" w:eastAsia="宋体" w:cs="宋体"/>
                <w:b/>
                <w:bCs/>
                <w:color w:val="auto"/>
                <w:sz w:val="21"/>
                <w:szCs w:val="21"/>
                <w:highlight w:val="none"/>
              </w:rPr>
              <w:t>生态环境准入清单符合性分析</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93"/>
              <w:gridCol w:w="960"/>
              <w:gridCol w:w="780"/>
              <w:gridCol w:w="690"/>
              <w:gridCol w:w="3540"/>
              <w:gridCol w:w="154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3" w:type="dxa"/>
                  <w:noWrap w:val="0"/>
                  <w:vAlign w:val="center"/>
                </w:tcPr>
                <w:p>
                  <w:pPr>
                    <w:adjustRightInd w:val="0"/>
                    <w:snapToGrid w:val="0"/>
                    <w:spacing w:line="240" w:lineRule="auto"/>
                    <w:jc w:val="center"/>
                    <w:rPr>
                      <w:rFonts w:hint="eastAsia" w:ascii="宋体" w:hAnsi="宋体" w:eastAsia="宋体" w:cs="宋体"/>
                      <w:snapToGrid w:val="0"/>
                      <w:color w:val="auto"/>
                      <w:kern w:val="0"/>
                      <w:sz w:val="21"/>
                      <w:szCs w:val="21"/>
                      <w:highlight w:val="none"/>
                    </w:rPr>
                  </w:pPr>
                  <w:r>
                    <w:rPr>
                      <w:rFonts w:hint="eastAsia" w:ascii="宋体" w:hAnsi="宋体" w:eastAsia="宋体" w:cs="宋体"/>
                      <w:snapToGrid w:val="0"/>
                      <w:color w:val="auto"/>
                      <w:kern w:val="0"/>
                      <w:sz w:val="21"/>
                      <w:szCs w:val="21"/>
                      <w:highlight w:val="none"/>
                    </w:rPr>
                    <w:t>管控单元编码</w:t>
                  </w:r>
                </w:p>
              </w:tc>
              <w:tc>
                <w:tcPr>
                  <w:tcW w:w="960" w:type="dxa"/>
                  <w:noWrap w:val="0"/>
                  <w:vAlign w:val="center"/>
                </w:tcPr>
                <w:p>
                  <w:pPr>
                    <w:adjustRightInd w:val="0"/>
                    <w:snapToGrid w:val="0"/>
                    <w:spacing w:line="240" w:lineRule="auto"/>
                    <w:jc w:val="center"/>
                    <w:rPr>
                      <w:rFonts w:hint="eastAsia" w:ascii="宋体" w:hAnsi="宋体" w:eastAsia="宋体" w:cs="宋体"/>
                      <w:snapToGrid w:val="0"/>
                      <w:color w:val="auto"/>
                      <w:kern w:val="0"/>
                      <w:sz w:val="21"/>
                      <w:szCs w:val="21"/>
                      <w:highlight w:val="none"/>
                    </w:rPr>
                  </w:pPr>
                  <w:r>
                    <w:rPr>
                      <w:rFonts w:hint="eastAsia" w:ascii="宋体" w:hAnsi="宋体" w:eastAsia="宋体" w:cs="宋体"/>
                      <w:snapToGrid w:val="0"/>
                      <w:color w:val="auto"/>
                      <w:kern w:val="0"/>
                      <w:sz w:val="21"/>
                      <w:szCs w:val="21"/>
                      <w:highlight w:val="none"/>
                    </w:rPr>
                    <w:t>环境管控单元名称</w:t>
                  </w:r>
                </w:p>
              </w:tc>
              <w:tc>
                <w:tcPr>
                  <w:tcW w:w="780" w:type="dxa"/>
                  <w:noWrap w:val="0"/>
                  <w:vAlign w:val="center"/>
                </w:tcPr>
                <w:p>
                  <w:pPr>
                    <w:adjustRightInd w:val="0"/>
                    <w:snapToGrid w:val="0"/>
                    <w:spacing w:line="240" w:lineRule="auto"/>
                    <w:jc w:val="center"/>
                    <w:rPr>
                      <w:rFonts w:hint="eastAsia" w:ascii="宋体" w:hAnsi="宋体" w:eastAsia="宋体" w:cs="宋体"/>
                      <w:snapToGrid w:val="0"/>
                      <w:color w:val="auto"/>
                      <w:kern w:val="0"/>
                      <w:sz w:val="21"/>
                      <w:szCs w:val="21"/>
                      <w:highlight w:val="none"/>
                    </w:rPr>
                  </w:pPr>
                  <w:r>
                    <w:rPr>
                      <w:rFonts w:hint="eastAsia" w:ascii="宋体" w:hAnsi="宋体" w:eastAsia="宋体" w:cs="宋体"/>
                      <w:snapToGrid w:val="0"/>
                      <w:color w:val="auto"/>
                      <w:kern w:val="0"/>
                      <w:sz w:val="21"/>
                      <w:szCs w:val="21"/>
                      <w:highlight w:val="none"/>
                    </w:rPr>
                    <w:t>管控单元类别</w:t>
                  </w:r>
                </w:p>
              </w:tc>
              <w:tc>
                <w:tcPr>
                  <w:tcW w:w="4230" w:type="dxa"/>
                  <w:gridSpan w:val="2"/>
                  <w:noWrap w:val="0"/>
                  <w:vAlign w:val="center"/>
                </w:tcPr>
                <w:p>
                  <w:pPr>
                    <w:adjustRightInd w:val="0"/>
                    <w:snapToGrid w:val="0"/>
                    <w:spacing w:line="240" w:lineRule="auto"/>
                    <w:jc w:val="center"/>
                    <w:rPr>
                      <w:rFonts w:hint="eastAsia" w:ascii="宋体" w:hAnsi="宋体" w:eastAsia="宋体" w:cs="宋体"/>
                      <w:snapToGrid w:val="0"/>
                      <w:color w:val="auto"/>
                      <w:kern w:val="0"/>
                      <w:sz w:val="21"/>
                      <w:szCs w:val="21"/>
                      <w:highlight w:val="none"/>
                    </w:rPr>
                  </w:pPr>
                  <w:r>
                    <w:rPr>
                      <w:rFonts w:hint="eastAsia" w:ascii="宋体" w:hAnsi="宋体" w:eastAsia="宋体" w:cs="宋体"/>
                      <w:snapToGrid w:val="0"/>
                      <w:color w:val="auto"/>
                      <w:kern w:val="0"/>
                      <w:sz w:val="21"/>
                      <w:szCs w:val="21"/>
                      <w:highlight w:val="none"/>
                    </w:rPr>
                    <w:t>管控要求</w:t>
                  </w:r>
                </w:p>
              </w:tc>
              <w:tc>
                <w:tcPr>
                  <w:tcW w:w="1540" w:type="dxa"/>
                  <w:noWrap w:val="0"/>
                  <w:vAlign w:val="center"/>
                </w:tcPr>
                <w:p>
                  <w:pPr>
                    <w:adjustRightInd w:val="0"/>
                    <w:snapToGrid w:val="0"/>
                    <w:spacing w:line="240" w:lineRule="auto"/>
                    <w:jc w:val="center"/>
                    <w:rPr>
                      <w:rFonts w:hint="eastAsia" w:ascii="宋体" w:hAnsi="宋体" w:eastAsia="宋体" w:cs="宋体"/>
                      <w:snapToGrid w:val="0"/>
                      <w:color w:val="auto"/>
                      <w:kern w:val="0"/>
                      <w:sz w:val="21"/>
                      <w:szCs w:val="21"/>
                      <w:highlight w:val="none"/>
                    </w:rPr>
                  </w:pPr>
                  <w:r>
                    <w:rPr>
                      <w:rFonts w:hint="eastAsia" w:ascii="宋体" w:hAnsi="宋体" w:eastAsia="宋体" w:cs="宋体"/>
                      <w:snapToGrid w:val="0"/>
                      <w:color w:val="auto"/>
                      <w:kern w:val="0"/>
                      <w:sz w:val="21"/>
                      <w:szCs w:val="21"/>
                      <w:highlight w:val="none"/>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33" w:hRule="atLeast"/>
                <w:jc w:val="center"/>
              </w:trPr>
              <w:tc>
                <w:tcPr>
                  <w:tcW w:w="793" w:type="dxa"/>
                  <w:vMerge w:val="restart"/>
                  <w:noWrap w:val="0"/>
                  <w:vAlign w:val="center"/>
                </w:tcPr>
                <w:p>
                  <w:pPr>
                    <w:keepNext w:val="0"/>
                    <w:keepLines w:val="0"/>
                    <w:pageBreakBefore w:val="0"/>
                    <w:widowControl/>
                    <w:kinsoku/>
                    <w:wordWrap/>
                    <w:overflowPunct/>
                    <w:topLinePunct w:val="0"/>
                    <w:autoSpaceDE/>
                    <w:autoSpaceDN/>
                    <w:bidi w:val="0"/>
                    <w:adjustRightInd/>
                    <w:snapToGrid/>
                    <w:spacing w:beforeLines="0" w:afterLines="0" w:line="240" w:lineRule="auto"/>
                    <w:ind w:firstLine="0" w:firstLineChars="0"/>
                    <w:jc w:val="center"/>
                    <w:textAlignment w:val="auto"/>
                    <w:rPr>
                      <w:rFonts w:hint="eastAsia" w:ascii="宋体" w:hAnsi="宋体" w:eastAsia="宋体" w:cs="宋体"/>
                      <w:color w:val="auto"/>
                      <w:kern w:val="0"/>
                      <w:sz w:val="21"/>
                      <w:szCs w:val="21"/>
                      <w:highlight w:val="none"/>
                      <w:lang w:eastAsia="zh-CN"/>
                    </w:rPr>
                  </w:pPr>
                  <w:r>
                    <w:rPr>
                      <w:rFonts w:hint="eastAsia" w:ascii="宋体" w:hAnsi="宋体" w:eastAsia="宋体" w:cs="宋体"/>
                      <w:color w:val="auto"/>
                      <w:sz w:val="21"/>
                      <w:szCs w:val="21"/>
                      <w:highlight w:val="none"/>
                      <w:u w:val="none"/>
                    </w:rPr>
                    <w:t>ZH2305022000</w:t>
                  </w:r>
                  <w:r>
                    <w:rPr>
                      <w:rFonts w:hint="eastAsia" w:ascii="宋体" w:hAnsi="宋体" w:eastAsia="宋体" w:cs="宋体"/>
                      <w:color w:val="auto"/>
                      <w:sz w:val="21"/>
                      <w:szCs w:val="21"/>
                      <w:highlight w:val="none"/>
                      <w:u w:val="none"/>
                      <w:lang w:val="en-US" w:eastAsia="zh-CN"/>
                    </w:rPr>
                    <w:t>1</w:t>
                  </w:r>
                </w:p>
              </w:tc>
              <w:tc>
                <w:tcPr>
                  <w:tcW w:w="960" w:type="dxa"/>
                  <w:vMerge w:val="restart"/>
                  <w:noWrap w:val="0"/>
                  <w:vAlign w:val="center"/>
                </w:tcPr>
                <w:p>
                  <w:pPr>
                    <w:widowControl/>
                    <w:spacing w:beforeLines="0" w:afterLines="0"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u w:val="none"/>
                    </w:rPr>
                    <w:t>尖山区城镇空间</w:t>
                  </w:r>
                </w:p>
              </w:tc>
              <w:tc>
                <w:tcPr>
                  <w:tcW w:w="780" w:type="dxa"/>
                  <w:vMerge w:val="restart"/>
                  <w:noWrap w:val="0"/>
                  <w:vAlign w:val="center"/>
                </w:tcPr>
                <w:p>
                  <w:pPr>
                    <w:spacing w:beforeLines="0" w:afterLines="0" w:line="240" w:lineRule="auto"/>
                    <w:jc w:val="center"/>
                    <w:rPr>
                      <w:rFonts w:hint="eastAsia" w:ascii="宋体" w:hAnsi="宋体" w:eastAsia="宋体" w:cs="宋体"/>
                      <w:snapToGrid w:val="0"/>
                      <w:color w:val="auto"/>
                      <w:kern w:val="0"/>
                      <w:sz w:val="21"/>
                      <w:szCs w:val="21"/>
                      <w:highlight w:val="none"/>
                    </w:rPr>
                  </w:pPr>
                  <w:r>
                    <w:rPr>
                      <w:rFonts w:hint="eastAsia" w:ascii="宋体" w:hAnsi="宋体" w:eastAsia="宋体" w:cs="宋体"/>
                      <w:color w:val="auto"/>
                      <w:sz w:val="21"/>
                      <w:szCs w:val="21"/>
                      <w:highlight w:val="none"/>
                      <w:u w:val="none"/>
                    </w:rPr>
                    <w:t>重点管控单元</w:t>
                  </w:r>
                </w:p>
              </w:tc>
              <w:tc>
                <w:tcPr>
                  <w:tcW w:w="690" w:type="dxa"/>
                  <w:noWrap w:val="0"/>
                  <w:vAlign w:val="center"/>
                </w:tcPr>
                <w:p>
                  <w:pPr>
                    <w:widowControl/>
                    <w:spacing w:beforeLines="0" w:afterLines="0" w:line="240" w:lineRule="auto"/>
                    <w:jc w:val="center"/>
                    <w:rPr>
                      <w:rFonts w:hint="eastAsia" w:ascii="宋体" w:hAnsi="宋体" w:eastAsia="宋体" w:cs="宋体"/>
                      <w:color w:val="auto"/>
                      <w:kern w:val="0"/>
                      <w:sz w:val="21"/>
                      <w:szCs w:val="21"/>
                      <w:highlight w:val="none"/>
                      <w:u w:val="none"/>
                      <w:lang w:val="en-US" w:eastAsia="zh-CN" w:bidi="ar-SA"/>
                    </w:rPr>
                  </w:pPr>
                  <w:r>
                    <w:rPr>
                      <w:rFonts w:hint="eastAsia" w:ascii="宋体" w:hAnsi="宋体" w:eastAsia="宋体" w:cs="宋体"/>
                      <w:color w:val="auto"/>
                      <w:sz w:val="21"/>
                      <w:szCs w:val="21"/>
                      <w:highlight w:val="none"/>
                      <w:u w:val="none"/>
                    </w:rPr>
                    <w:t>空间布局约束</w:t>
                  </w:r>
                </w:p>
              </w:tc>
              <w:tc>
                <w:tcPr>
                  <w:tcW w:w="3540" w:type="dxa"/>
                  <w:noWrap w:val="0"/>
                  <w:vAlign w:val="center"/>
                </w:tcPr>
                <w:p>
                  <w:pPr>
                    <w:keepNext w:val="0"/>
                    <w:keepLines w:val="0"/>
                    <w:widowControl/>
                    <w:numPr>
                      <w:ilvl w:val="0"/>
                      <w:numId w:val="0"/>
                    </w:numPr>
                    <w:suppressLineNumbers w:val="0"/>
                    <w:jc w:val="left"/>
                    <w:rPr>
                      <w:rFonts w:hint="eastAsia" w:ascii="宋体" w:hAnsi="宋体" w:eastAsia="宋体" w:cs="宋体"/>
                      <w:color w:val="auto"/>
                      <w:kern w:val="0"/>
                      <w:sz w:val="21"/>
                      <w:szCs w:val="21"/>
                      <w:highlight w:val="none"/>
                      <w:lang w:val="en-US" w:eastAsia="zh-CN" w:bidi="ar"/>
                    </w:rPr>
                  </w:pPr>
                  <w:r>
                    <w:rPr>
                      <w:rFonts w:hint="eastAsia" w:ascii="宋体" w:hAnsi="宋体" w:eastAsia="宋体" w:cs="宋体"/>
                      <w:color w:val="auto"/>
                      <w:kern w:val="0"/>
                      <w:sz w:val="21"/>
                      <w:szCs w:val="21"/>
                      <w:highlight w:val="none"/>
                      <w:lang w:val="en-US" w:eastAsia="zh-CN" w:bidi="ar"/>
                    </w:rPr>
                    <w:t>1.执行“1）严禁在人口密集区新建危险化学品生产项目，城镇人口密集区危险化学品生产企业应搬迁改造。2）禁止在城镇居民区、文化教育科学研究区等人口集中区域建设畜禽养殖场、养殖小区。”</w:t>
                  </w:r>
                </w:p>
                <w:p>
                  <w:pPr>
                    <w:keepNext w:val="0"/>
                    <w:keepLines w:val="0"/>
                    <w:widowControl/>
                    <w:numPr>
                      <w:ilvl w:val="0"/>
                      <w:numId w:val="0"/>
                    </w:numPr>
                    <w:suppressLineNumbers w:val="0"/>
                    <w:jc w:val="left"/>
                    <w:rPr>
                      <w:rFonts w:hint="eastAsia" w:ascii="宋体" w:hAnsi="宋体" w:eastAsia="宋体" w:cs="宋体"/>
                      <w:color w:val="auto"/>
                      <w:kern w:val="2"/>
                      <w:sz w:val="21"/>
                      <w:szCs w:val="21"/>
                      <w:highlight w:val="none"/>
                      <w:u w:val="none"/>
                      <w:lang w:val="en-US" w:eastAsia="zh-CN" w:bidi="ar-SA"/>
                    </w:rPr>
                  </w:pPr>
                  <w:r>
                    <w:rPr>
                      <w:rFonts w:hint="eastAsia" w:ascii="宋体" w:hAnsi="宋体" w:eastAsia="宋体" w:cs="宋体"/>
                      <w:color w:val="auto"/>
                      <w:kern w:val="0"/>
                      <w:sz w:val="21"/>
                      <w:szCs w:val="21"/>
                      <w:highlight w:val="none"/>
                      <w:lang w:val="en-US" w:eastAsia="zh-CN" w:bidi="ar"/>
                    </w:rPr>
                    <w:t>2.大气环境布局敏感重点管控区同时执行“1）严控“两高”行业产能。严格执行钢铁、水泥、平板玻璃等行业产能置换实施办法。2）利用水泥窑协同处置城市生活垃圾、危险废弃物、电石渣等固废伴生水泥项目，必须依托现有新型干法水泥熟料生产线进行不扩产能改造。</w:t>
                  </w:r>
                </w:p>
              </w:tc>
              <w:tc>
                <w:tcPr>
                  <w:tcW w:w="1540" w:type="dxa"/>
                  <w:noWrap w:val="0"/>
                  <w:vAlign w:val="center"/>
                </w:tcPr>
                <w:p>
                  <w:pPr>
                    <w:adjustRightInd w:val="0"/>
                    <w:snapToGrid w:val="0"/>
                    <w:spacing w:line="240" w:lineRule="auto"/>
                    <w:jc w:val="center"/>
                    <w:rPr>
                      <w:rFonts w:hint="eastAsia" w:ascii="宋体" w:hAnsi="宋体" w:eastAsia="宋体" w:cs="宋体"/>
                      <w:snapToGrid w:val="0"/>
                      <w:color w:val="auto"/>
                      <w:kern w:val="0"/>
                      <w:sz w:val="21"/>
                      <w:szCs w:val="21"/>
                      <w:highlight w:val="none"/>
                      <w:lang w:val="en-US" w:eastAsia="zh-CN"/>
                    </w:rPr>
                  </w:pPr>
                  <w:r>
                    <w:rPr>
                      <w:rFonts w:hint="eastAsia" w:ascii="宋体" w:hAnsi="宋体" w:eastAsia="宋体" w:cs="宋体"/>
                      <w:color w:val="auto"/>
                      <w:sz w:val="21"/>
                      <w:szCs w:val="21"/>
                      <w:lang w:val="en-US" w:eastAsia="zh-CN"/>
                    </w:rPr>
                    <w:t>本项目属于核技术利用项目，不属于</w:t>
                  </w:r>
                  <w:r>
                    <w:rPr>
                      <w:rFonts w:hint="eastAsia" w:ascii="宋体" w:hAnsi="宋体" w:eastAsia="宋体" w:cs="宋体"/>
                      <w:color w:val="auto"/>
                      <w:sz w:val="21"/>
                      <w:szCs w:val="21"/>
                      <w:highlight w:val="none"/>
                      <w:u w:val="none"/>
                    </w:rPr>
                    <w:t>空间布局约束</w:t>
                  </w:r>
                  <w:r>
                    <w:rPr>
                      <w:rFonts w:hint="eastAsia" w:ascii="宋体" w:hAnsi="宋体" w:eastAsia="宋体" w:cs="宋体"/>
                      <w:color w:val="auto"/>
                      <w:sz w:val="21"/>
                      <w:szCs w:val="21"/>
                      <w:lang w:val="en-US" w:eastAsia="zh-CN"/>
                    </w:rPr>
                    <w:t>范围。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5" w:hRule="atLeast"/>
                <w:jc w:val="center"/>
              </w:trPr>
              <w:tc>
                <w:tcPr>
                  <w:tcW w:w="793" w:type="dxa"/>
                  <w:vMerge w:val="continue"/>
                  <w:noWrap w:val="0"/>
                  <w:vAlign w:val="center"/>
                </w:tcPr>
                <w:p>
                  <w:pPr>
                    <w:adjustRightInd w:val="0"/>
                    <w:snapToGrid w:val="0"/>
                    <w:spacing w:line="240" w:lineRule="auto"/>
                    <w:jc w:val="center"/>
                    <w:rPr>
                      <w:rFonts w:hint="eastAsia" w:ascii="宋体" w:hAnsi="宋体" w:eastAsia="宋体" w:cs="宋体"/>
                      <w:snapToGrid w:val="0"/>
                      <w:color w:val="auto"/>
                      <w:kern w:val="0"/>
                      <w:sz w:val="21"/>
                      <w:szCs w:val="21"/>
                      <w:highlight w:val="none"/>
                    </w:rPr>
                  </w:pPr>
                </w:p>
              </w:tc>
              <w:tc>
                <w:tcPr>
                  <w:tcW w:w="960" w:type="dxa"/>
                  <w:vMerge w:val="continue"/>
                  <w:noWrap w:val="0"/>
                  <w:vAlign w:val="center"/>
                </w:tcPr>
                <w:p>
                  <w:pPr>
                    <w:adjustRightInd w:val="0"/>
                    <w:snapToGrid w:val="0"/>
                    <w:spacing w:line="240" w:lineRule="auto"/>
                    <w:jc w:val="center"/>
                    <w:rPr>
                      <w:rFonts w:hint="eastAsia" w:ascii="宋体" w:hAnsi="宋体" w:eastAsia="宋体" w:cs="宋体"/>
                      <w:snapToGrid w:val="0"/>
                      <w:color w:val="auto"/>
                      <w:kern w:val="0"/>
                      <w:sz w:val="21"/>
                      <w:szCs w:val="21"/>
                      <w:highlight w:val="none"/>
                    </w:rPr>
                  </w:pPr>
                </w:p>
              </w:tc>
              <w:tc>
                <w:tcPr>
                  <w:tcW w:w="780" w:type="dxa"/>
                  <w:vMerge w:val="continue"/>
                  <w:noWrap w:val="0"/>
                  <w:vAlign w:val="center"/>
                </w:tcPr>
                <w:p>
                  <w:pPr>
                    <w:adjustRightInd w:val="0"/>
                    <w:snapToGrid w:val="0"/>
                    <w:spacing w:line="240" w:lineRule="auto"/>
                    <w:jc w:val="center"/>
                    <w:rPr>
                      <w:rFonts w:hint="eastAsia" w:ascii="宋体" w:hAnsi="宋体" w:eastAsia="宋体" w:cs="宋体"/>
                      <w:snapToGrid w:val="0"/>
                      <w:color w:val="auto"/>
                      <w:kern w:val="0"/>
                      <w:sz w:val="21"/>
                      <w:szCs w:val="21"/>
                      <w:highlight w:val="none"/>
                    </w:rPr>
                  </w:pPr>
                </w:p>
              </w:tc>
              <w:tc>
                <w:tcPr>
                  <w:tcW w:w="690" w:type="dxa"/>
                  <w:noWrap w:val="0"/>
                  <w:vAlign w:val="center"/>
                </w:tcPr>
                <w:p>
                  <w:pPr>
                    <w:widowControl/>
                    <w:spacing w:beforeLines="0" w:afterLines="0" w:line="240" w:lineRule="auto"/>
                    <w:jc w:val="center"/>
                    <w:rPr>
                      <w:rFonts w:hint="eastAsia" w:ascii="宋体" w:hAnsi="宋体" w:eastAsia="宋体" w:cs="宋体"/>
                      <w:color w:val="auto"/>
                      <w:kern w:val="0"/>
                      <w:sz w:val="21"/>
                      <w:szCs w:val="21"/>
                      <w:highlight w:val="none"/>
                      <w:u w:val="none"/>
                      <w:lang w:val="en-US" w:eastAsia="zh-CN" w:bidi="ar-SA"/>
                    </w:rPr>
                  </w:pPr>
                  <w:r>
                    <w:rPr>
                      <w:rFonts w:hint="eastAsia" w:ascii="宋体" w:hAnsi="宋体" w:eastAsia="宋体" w:cs="宋体"/>
                      <w:color w:val="auto"/>
                      <w:sz w:val="21"/>
                      <w:szCs w:val="21"/>
                      <w:highlight w:val="none"/>
                      <w:u w:val="none"/>
                    </w:rPr>
                    <w:t>污染物排放管控</w:t>
                  </w:r>
                </w:p>
              </w:tc>
              <w:tc>
                <w:tcPr>
                  <w:tcW w:w="3540" w:type="dxa"/>
                  <w:noWrap w:val="0"/>
                  <w:vAlign w:val="center"/>
                </w:tcPr>
                <w:p>
                  <w:pPr>
                    <w:keepNext w:val="0"/>
                    <w:keepLines w:val="0"/>
                    <w:pageBreakBefore w:val="0"/>
                    <w:widowControl/>
                    <w:numPr>
                      <w:ilvl w:val="0"/>
                      <w:numId w:val="0"/>
                    </w:numPr>
                    <w:suppressLineNumbers w:val="0"/>
                    <w:kinsoku/>
                    <w:wordWrap/>
                    <w:overflowPunct/>
                    <w:topLinePunct w:val="0"/>
                    <w:autoSpaceDE/>
                    <w:autoSpaceDN/>
                    <w:bidi w:val="0"/>
                    <w:jc w:val="left"/>
                    <w:textAlignment w:val="auto"/>
                    <w:rPr>
                      <w:rFonts w:hint="eastAsia" w:ascii="宋体" w:hAnsi="宋体" w:eastAsia="宋体" w:cs="宋体"/>
                      <w:color w:val="auto"/>
                      <w:kern w:val="0"/>
                      <w:sz w:val="21"/>
                      <w:szCs w:val="21"/>
                      <w:highlight w:val="none"/>
                      <w:lang w:val="en-US" w:eastAsia="zh-CN" w:bidi="ar"/>
                    </w:rPr>
                  </w:pPr>
                  <w:r>
                    <w:rPr>
                      <w:rFonts w:hint="eastAsia" w:ascii="宋体" w:hAnsi="宋体" w:eastAsia="宋体" w:cs="宋体"/>
                      <w:color w:val="auto"/>
                      <w:kern w:val="0"/>
                      <w:sz w:val="21"/>
                      <w:szCs w:val="21"/>
                      <w:lang w:val="en-US" w:eastAsia="zh-CN" w:bidi="ar"/>
                    </w:rPr>
                    <w:t>1.</w:t>
                  </w:r>
                  <w:r>
                    <w:rPr>
                      <w:rFonts w:hint="eastAsia" w:ascii="宋体" w:hAnsi="宋体" w:eastAsia="宋体" w:cs="宋体"/>
                      <w:color w:val="auto"/>
                      <w:kern w:val="0"/>
                      <w:sz w:val="21"/>
                      <w:szCs w:val="21"/>
                      <w:highlight w:val="none"/>
                      <w:lang w:val="en-US" w:eastAsia="zh-CN" w:bidi="ar"/>
                    </w:rPr>
                    <w:t>执行“加快65t/h以上燃煤锅炉（含电力）超低排放改造。”</w:t>
                  </w:r>
                </w:p>
                <w:p>
                  <w:pPr>
                    <w:keepNext w:val="0"/>
                    <w:keepLines w:val="0"/>
                    <w:pageBreakBefore w:val="0"/>
                    <w:widowControl/>
                    <w:numPr>
                      <w:ilvl w:val="0"/>
                      <w:numId w:val="0"/>
                    </w:numPr>
                    <w:suppressLineNumbers w:val="0"/>
                    <w:kinsoku/>
                    <w:wordWrap/>
                    <w:overflowPunct/>
                    <w:topLinePunct w:val="0"/>
                    <w:autoSpaceDE/>
                    <w:autoSpaceDN/>
                    <w:bidi w:val="0"/>
                    <w:jc w:val="left"/>
                    <w:textAlignment w:val="auto"/>
                    <w:rPr>
                      <w:rFonts w:hint="eastAsia" w:ascii="宋体" w:hAnsi="宋体" w:eastAsia="宋体" w:cs="宋体"/>
                      <w:color w:val="auto"/>
                      <w:kern w:val="0"/>
                      <w:sz w:val="21"/>
                      <w:szCs w:val="21"/>
                      <w:highlight w:val="none"/>
                      <w:u w:val="none"/>
                      <w:lang w:val="en-US" w:eastAsia="zh-CN" w:bidi="ar-SA"/>
                    </w:rPr>
                  </w:pPr>
                  <w:r>
                    <w:rPr>
                      <w:rFonts w:hint="eastAsia" w:ascii="宋体" w:hAnsi="宋体" w:eastAsia="宋体" w:cs="宋体"/>
                      <w:color w:val="auto"/>
                      <w:kern w:val="0"/>
                      <w:sz w:val="21"/>
                      <w:szCs w:val="21"/>
                      <w:highlight w:val="none"/>
                      <w:lang w:val="en-US" w:eastAsia="zh-CN" w:bidi="ar"/>
                    </w:rPr>
                    <w:t>2.大气环境布局敏感重点管控区同时执行“1）对以煤、石焦油、渣油、重油等为燃料的锅炉和工业炉窑，加快使用清洁低碳能源以及工厂余热、电力热力等进行替代。2）到2025年，在用65蒸吨/小时以上的燃煤锅炉（含电力）实现超低排放，钢铁企业基本实现超低排放。”</w:t>
                  </w:r>
                </w:p>
              </w:tc>
              <w:tc>
                <w:tcPr>
                  <w:tcW w:w="1540"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本项目为核技术利用项目，仅有少量废气排放，经实体防护后，屏蔽体外空气吸收剂量当量率均能达到标准要求</w:t>
                  </w:r>
                  <w:r>
                    <w:rPr>
                      <w:rFonts w:hint="eastAsia" w:ascii="宋体" w:hAnsi="宋体" w:eastAsia="宋体" w:cs="宋体"/>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98" w:hRule="atLeast"/>
                <w:jc w:val="center"/>
              </w:trPr>
              <w:tc>
                <w:tcPr>
                  <w:tcW w:w="793" w:type="dxa"/>
                  <w:vMerge w:val="continue"/>
                  <w:noWrap w:val="0"/>
                  <w:vAlign w:val="center"/>
                </w:tcPr>
                <w:p>
                  <w:pPr>
                    <w:adjustRightInd w:val="0"/>
                    <w:snapToGrid w:val="0"/>
                    <w:spacing w:line="240" w:lineRule="auto"/>
                    <w:jc w:val="center"/>
                    <w:rPr>
                      <w:rFonts w:hint="eastAsia" w:ascii="宋体" w:hAnsi="宋体" w:eastAsia="宋体" w:cs="宋体"/>
                      <w:snapToGrid w:val="0"/>
                      <w:color w:val="auto"/>
                      <w:kern w:val="0"/>
                      <w:sz w:val="21"/>
                      <w:szCs w:val="21"/>
                      <w:highlight w:val="none"/>
                    </w:rPr>
                  </w:pPr>
                </w:p>
              </w:tc>
              <w:tc>
                <w:tcPr>
                  <w:tcW w:w="960" w:type="dxa"/>
                  <w:vMerge w:val="continue"/>
                  <w:noWrap w:val="0"/>
                  <w:vAlign w:val="center"/>
                </w:tcPr>
                <w:p>
                  <w:pPr>
                    <w:adjustRightInd w:val="0"/>
                    <w:snapToGrid w:val="0"/>
                    <w:spacing w:line="240" w:lineRule="auto"/>
                    <w:jc w:val="center"/>
                    <w:rPr>
                      <w:rFonts w:hint="eastAsia" w:ascii="宋体" w:hAnsi="宋体" w:eastAsia="宋体" w:cs="宋体"/>
                      <w:snapToGrid w:val="0"/>
                      <w:color w:val="auto"/>
                      <w:kern w:val="0"/>
                      <w:sz w:val="21"/>
                      <w:szCs w:val="21"/>
                      <w:highlight w:val="none"/>
                    </w:rPr>
                  </w:pPr>
                </w:p>
              </w:tc>
              <w:tc>
                <w:tcPr>
                  <w:tcW w:w="780" w:type="dxa"/>
                  <w:vMerge w:val="continue"/>
                  <w:noWrap w:val="0"/>
                  <w:vAlign w:val="center"/>
                </w:tcPr>
                <w:p>
                  <w:pPr>
                    <w:adjustRightInd w:val="0"/>
                    <w:snapToGrid w:val="0"/>
                    <w:spacing w:line="240" w:lineRule="auto"/>
                    <w:jc w:val="center"/>
                    <w:rPr>
                      <w:rFonts w:hint="eastAsia" w:ascii="宋体" w:hAnsi="宋体" w:eastAsia="宋体" w:cs="宋体"/>
                      <w:snapToGrid w:val="0"/>
                      <w:color w:val="auto"/>
                      <w:kern w:val="0"/>
                      <w:sz w:val="21"/>
                      <w:szCs w:val="21"/>
                      <w:highlight w:val="none"/>
                    </w:rPr>
                  </w:pPr>
                </w:p>
              </w:tc>
              <w:tc>
                <w:tcPr>
                  <w:tcW w:w="690" w:type="dxa"/>
                  <w:noWrap w:val="0"/>
                  <w:vAlign w:val="center"/>
                </w:tcPr>
                <w:p>
                  <w:pPr>
                    <w:widowControl/>
                    <w:spacing w:beforeLines="0" w:afterLines="0" w:line="240" w:lineRule="auto"/>
                    <w:jc w:val="center"/>
                    <w:rPr>
                      <w:rFonts w:hint="eastAsia" w:ascii="宋体" w:hAnsi="宋体" w:eastAsia="宋体" w:cs="宋体"/>
                      <w:color w:val="auto"/>
                      <w:kern w:val="0"/>
                      <w:sz w:val="21"/>
                      <w:szCs w:val="21"/>
                      <w:highlight w:val="none"/>
                      <w:u w:val="none"/>
                      <w:lang w:val="en-US" w:eastAsia="zh-CN" w:bidi="ar-SA"/>
                    </w:rPr>
                  </w:pPr>
                  <w:r>
                    <w:rPr>
                      <w:rFonts w:hint="eastAsia" w:ascii="宋体" w:hAnsi="宋体" w:eastAsia="宋体" w:cs="宋体"/>
                      <w:color w:val="auto"/>
                      <w:sz w:val="21"/>
                      <w:szCs w:val="21"/>
                      <w:highlight w:val="none"/>
                      <w:u w:val="none"/>
                    </w:rPr>
                    <w:t>环境风险防控</w:t>
                  </w:r>
                </w:p>
              </w:tc>
              <w:tc>
                <w:tcPr>
                  <w:tcW w:w="3540" w:type="dxa"/>
                  <w:noWrap w:val="0"/>
                  <w:vAlign w:val="center"/>
                </w:tcPr>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jc w:val="left"/>
                    <w:textAlignment w:val="auto"/>
                    <w:rPr>
                      <w:rFonts w:hint="eastAsia" w:ascii="宋体" w:hAnsi="宋体" w:eastAsia="宋体" w:cs="宋体"/>
                      <w:color w:val="auto"/>
                      <w:kern w:val="0"/>
                      <w:sz w:val="21"/>
                      <w:szCs w:val="21"/>
                      <w:highlight w:val="none"/>
                      <w:lang w:val="en-US" w:eastAsia="zh-CN" w:bidi="ar"/>
                    </w:rPr>
                  </w:pPr>
                  <w:r>
                    <w:rPr>
                      <w:rFonts w:hint="eastAsia" w:ascii="宋体" w:hAnsi="宋体" w:eastAsia="宋体" w:cs="宋体"/>
                      <w:color w:val="auto"/>
                      <w:kern w:val="0"/>
                      <w:sz w:val="21"/>
                      <w:szCs w:val="21"/>
                      <w:lang w:val="en-US" w:eastAsia="zh-CN" w:bidi="ar"/>
                    </w:rPr>
                    <w:t>1.</w:t>
                  </w:r>
                  <w:r>
                    <w:rPr>
                      <w:rFonts w:hint="eastAsia" w:ascii="宋体" w:hAnsi="宋体" w:eastAsia="宋体" w:cs="宋体"/>
                      <w:color w:val="auto"/>
                      <w:kern w:val="0"/>
                      <w:sz w:val="21"/>
                      <w:szCs w:val="21"/>
                      <w:highlight w:val="none"/>
                      <w:lang w:val="en-US" w:eastAsia="zh-CN" w:bidi="ar"/>
                    </w:rPr>
                    <w:t>执行“化工园区与城市建成区、人员密集场所、重要设施、敏感目标等应当保持规定的安全距离，相对封闭，不应保留常住居民，非关联企业和产业要逐步搬迁或退出，妥善防范化解“邻避”问题。严禁在松花江干流及一级支流沿岸1公里范围内布局化工园区。”</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jc w:val="left"/>
                    <w:textAlignment w:val="auto"/>
                    <w:rPr>
                      <w:rFonts w:hint="eastAsia" w:ascii="宋体" w:hAnsi="宋体" w:eastAsia="宋体" w:cs="宋体"/>
                      <w:color w:val="auto"/>
                      <w:kern w:val="0"/>
                      <w:sz w:val="21"/>
                      <w:szCs w:val="21"/>
                      <w:highlight w:val="none"/>
                      <w:lang w:val="en-US" w:eastAsia="zh-CN" w:bidi="ar"/>
                    </w:rPr>
                  </w:pPr>
                  <w:r>
                    <w:rPr>
                      <w:rFonts w:hint="eastAsia" w:ascii="宋体" w:hAnsi="宋体" w:eastAsia="宋体" w:cs="宋体"/>
                      <w:color w:val="auto"/>
                      <w:kern w:val="0"/>
                      <w:sz w:val="21"/>
                      <w:szCs w:val="21"/>
                      <w:highlight w:val="none"/>
                      <w:lang w:val="en-US" w:eastAsia="zh-CN" w:bidi="ar"/>
                    </w:rPr>
                    <w:t>2.大气环境布局敏感重点管控区同时执行“禁止在居民区、学校、医</w:t>
                  </w:r>
                </w:p>
                <w:p>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eastAsia" w:ascii="宋体" w:hAnsi="宋体" w:eastAsia="宋体" w:cs="宋体"/>
                      <w:color w:val="auto"/>
                      <w:kern w:val="2"/>
                      <w:sz w:val="21"/>
                      <w:szCs w:val="21"/>
                      <w:highlight w:val="none"/>
                      <w:u w:val="none"/>
                      <w:lang w:val="en-US" w:eastAsia="zh-CN" w:bidi="ar-SA"/>
                    </w:rPr>
                  </w:pPr>
                  <w:r>
                    <w:rPr>
                      <w:rFonts w:hint="eastAsia" w:ascii="宋体" w:hAnsi="宋体" w:eastAsia="宋体" w:cs="宋体"/>
                      <w:color w:val="auto"/>
                      <w:kern w:val="0"/>
                      <w:sz w:val="21"/>
                      <w:szCs w:val="21"/>
                      <w:highlight w:val="none"/>
                      <w:lang w:val="en-US" w:eastAsia="zh-CN" w:bidi="ar"/>
                    </w:rPr>
                    <w:t>疗和养老机构等周边新建有色金属冶炼、焦化等行业企业。”</w:t>
                  </w:r>
                </w:p>
              </w:tc>
              <w:tc>
                <w:tcPr>
                  <w:tcW w:w="1540" w:type="dxa"/>
                  <w:noWrap w:val="0"/>
                  <w:vAlign w:val="center"/>
                </w:tcPr>
                <w:p>
                  <w:pPr>
                    <w:pStyle w:val="17"/>
                    <w:keepNext w:val="0"/>
                    <w:keepLines w:val="0"/>
                    <w:pageBreakBefore w:val="0"/>
                    <w:kinsoku/>
                    <w:wordWrap/>
                    <w:overflowPunct/>
                    <w:topLinePunct w:val="0"/>
                    <w:autoSpaceDE/>
                    <w:autoSpaceDN/>
                    <w:bidi w:val="0"/>
                    <w:adjustRightInd/>
                    <w:snapToGrid/>
                    <w:spacing w:after="0" w:line="240" w:lineRule="auto"/>
                    <w:ind w:left="0" w:leftChars="0" w:firstLine="0" w:firstLineChars="0"/>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snapToGrid w:val="0"/>
                      <w:color w:val="auto"/>
                      <w:sz w:val="21"/>
                      <w:szCs w:val="21"/>
                      <w:highlight w:val="none"/>
                      <w:lang w:val="en-US" w:eastAsia="zh-CN"/>
                    </w:rPr>
                    <w:t>本项目不属于化工园区，本项目用地性质为医疗卫生用地，且不在建设用地风险管控区。且</w:t>
                  </w:r>
                  <w:r>
                    <w:rPr>
                      <w:rFonts w:hint="eastAsia" w:ascii="宋体" w:hAnsi="宋体" w:eastAsia="宋体" w:cs="宋体"/>
                      <w:color w:val="auto"/>
                      <w:sz w:val="21"/>
                      <w:szCs w:val="21"/>
                      <w:highlight w:val="none"/>
                      <w:lang w:val="en-US" w:eastAsia="zh-CN"/>
                    </w:rPr>
                    <w:t>本项目为核技术利用项目，不属于环境风险管控行业范围。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6" w:hRule="atLeast"/>
                <w:jc w:val="center"/>
              </w:trPr>
              <w:tc>
                <w:tcPr>
                  <w:tcW w:w="793" w:type="dxa"/>
                  <w:vMerge w:val="continue"/>
                  <w:noWrap w:val="0"/>
                  <w:vAlign w:val="center"/>
                </w:tcPr>
                <w:p>
                  <w:pPr>
                    <w:adjustRightInd w:val="0"/>
                    <w:snapToGrid w:val="0"/>
                    <w:spacing w:line="240" w:lineRule="auto"/>
                    <w:jc w:val="center"/>
                    <w:rPr>
                      <w:rFonts w:hint="eastAsia" w:ascii="宋体" w:hAnsi="宋体" w:eastAsia="宋体" w:cs="宋体"/>
                      <w:snapToGrid w:val="0"/>
                      <w:color w:val="auto"/>
                      <w:kern w:val="0"/>
                      <w:sz w:val="21"/>
                      <w:szCs w:val="21"/>
                      <w:highlight w:val="none"/>
                    </w:rPr>
                  </w:pPr>
                </w:p>
              </w:tc>
              <w:tc>
                <w:tcPr>
                  <w:tcW w:w="960" w:type="dxa"/>
                  <w:vMerge w:val="continue"/>
                  <w:noWrap w:val="0"/>
                  <w:vAlign w:val="center"/>
                </w:tcPr>
                <w:p>
                  <w:pPr>
                    <w:adjustRightInd w:val="0"/>
                    <w:snapToGrid w:val="0"/>
                    <w:spacing w:line="240" w:lineRule="auto"/>
                    <w:jc w:val="center"/>
                    <w:rPr>
                      <w:rFonts w:hint="eastAsia" w:ascii="宋体" w:hAnsi="宋体" w:eastAsia="宋体" w:cs="宋体"/>
                      <w:snapToGrid w:val="0"/>
                      <w:color w:val="auto"/>
                      <w:kern w:val="0"/>
                      <w:sz w:val="21"/>
                      <w:szCs w:val="21"/>
                      <w:highlight w:val="none"/>
                    </w:rPr>
                  </w:pPr>
                </w:p>
              </w:tc>
              <w:tc>
                <w:tcPr>
                  <w:tcW w:w="780" w:type="dxa"/>
                  <w:vMerge w:val="continue"/>
                  <w:noWrap w:val="0"/>
                  <w:vAlign w:val="center"/>
                </w:tcPr>
                <w:p>
                  <w:pPr>
                    <w:adjustRightInd w:val="0"/>
                    <w:snapToGrid w:val="0"/>
                    <w:spacing w:line="240" w:lineRule="auto"/>
                    <w:jc w:val="center"/>
                    <w:rPr>
                      <w:rFonts w:hint="eastAsia" w:ascii="宋体" w:hAnsi="宋体" w:eastAsia="宋体" w:cs="宋体"/>
                      <w:snapToGrid w:val="0"/>
                      <w:color w:val="auto"/>
                      <w:kern w:val="0"/>
                      <w:sz w:val="21"/>
                      <w:szCs w:val="21"/>
                      <w:highlight w:val="none"/>
                    </w:rPr>
                  </w:pPr>
                </w:p>
              </w:tc>
              <w:tc>
                <w:tcPr>
                  <w:tcW w:w="690" w:type="dxa"/>
                  <w:noWrap w:val="0"/>
                  <w:vAlign w:val="center"/>
                </w:tcPr>
                <w:p>
                  <w:pPr>
                    <w:widowControl/>
                    <w:spacing w:beforeLines="0" w:afterLines="0" w:line="240" w:lineRule="auto"/>
                    <w:jc w:val="center"/>
                    <w:rPr>
                      <w:rFonts w:hint="eastAsia" w:ascii="宋体" w:hAnsi="宋体" w:eastAsia="宋体" w:cs="宋体"/>
                      <w:color w:val="auto"/>
                      <w:kern w:val="0"/>
                      <w:sz w:val="21"/>
                      <w:szCs w:val="21"/>
                      <w:highlight w:val="none"/>
                      <w:u w:val="none"/>
                      <w:lang w:val="en-US" w:eastAsia="zh-CN" w:bidi="ar-SA"/>
                    </w:rPr>
                  </w:pPr>
                  <w:r>
                    <w:rPr>
                      <w:rFonts w:hint="eastAsia" w:ascii="宋体" w:hAnsi="宋体" w:eastAsia="宋体" w:cs="宋体"/>
                      <w:color w:val="auto"/>
                      <w:sz w:val="21"/>
                      <w:szCs w:val="21"/>
                      <w:highlight w:val="none"/>
                      <w:u w:val="none"/>
                    </w:rPr>
                    <w:t>资源利用效率要求</w:t>
                  </w:r>
                </w:p>
              </w:tc>
              <w:tc>
                <w:tcPr>
                  <w:tcW w:w="3540" w:type="dxa"/>
                  <w:noWrap w:val="0"/>
                  <w:vAlign w:val="center"/>
                </w:tcPr>
                <w:p>
                  <w:pPr>
                    <w:keepNext w:val="0"/>
                    <w:keepLines w:val="0"/>
                    <w:pageBreakBefore w:val="0"/>
                    <w:widowControl/>
                    <w:numPr>
                      <w:ilvl w:val="0"/>
                      <w:numId w:val="0"/>
                    </w:numPr>
                    <w:suppressLineNumbers w:val="0"/>
                    <w:kinsoku/>
                    <w:wordWrap/>
                    <w:overflowPunct/>
                    <w:topLinePunct w:val="0"/>
                    <w:autoSpaceDE/>
                    <w:autoSpaceDN/>
                    <w:bidi w:val="0"/>
                    <w:jc w:val="left"/>
                    <w:textAlignment w:val="auto"/>
                    <w:rPr>
                      <w:rFonts w:hint="eastAsia" w:ascii="宋体" w:hAnsi="宋体" w:eastAsia="宋体" w:cs="宋体"/>
                      <w:color w:val="auto"/>
                      <w:kern w:val="0"/>
                      <w:sz w:val="21"/>
                      <w:szCs w:val="21"/>
                      <w:highlight w:val="none"/>
                      <w:lang w:val="en-US" w:eastAsia="zh-CN" w:bidi="ar"/>
                    </w:rPr>
                  </w:pPr>
                  <w:r>
                    <w:rPr>
                      <w:rFonts w:hint="eastAsia" w:ascii="宋体" w:hAnsi="宋体" w:eastAsia="宋体" w:cs="宋体"/>
                      <w:color w:val="auto"/>
                      <w:kern w:val="0"/>
                      <w:sz w:val="21"/>
                      <w:szCs w:val="21"/>
                      <w:lang w:val="en-US" w:eastAsia="zh-CN" w:bidi="ar"/>
                    </w:rPr>
                    <w:t>1.</w:t>
                  </w:r>
                  <w:r>
                    <w:rPr>
                      <w:rFonts w:hint="eastAsia" w:ascii="宋体" w:hAnsi="宋体" w:eastAsia="宋体" w:cs="宋体"/>
                      <w:color w:val="auto"/>
                      <w:kern w:val="0"/>
                      <w:sz w:val="21"/>
                      <w:szCs w:val="21"/>
                      <w:highlight w:val="none"/>
                      <w:lang w:val="en-US" w:eastAsia="zh-CN" w:bidi="ar"/>
                    </w:rPr>
                    <w:t>执行“1）推进污水再生利用设施建设。2）公共建筑必须采用节水器具，限期淘汰公共建筑中不符合节水标准的水嘴、便器水箱等生活用水器具。”</w:t>
                  </w:r>
                </w:p>
                <w:p>
                  <w:pPr>
                    <w:keepNext w:val="0"/>
                    <w:keepLines w:val="0"/>
                    <w:pageBreakBefore w:val="0"/>
                    <w:widowControl/>
                    <w:numPr>
                      <w:ilvl w:val="0"/>
                      <w:numId w:val="0"/>
                    </w:numPr>
                    <w:suppressLineNumbers w:val="0"/>
                    <w:kinsoku/>
                    <w:wordWrap/>
                    <w:overflowPunct/>
                    <w:topLinePunct w:val="0"/>
                    <w:autoSpaceDE/>
                    <w:autoSpaceDN/>
                    <w:bidi w:val="0"/>
                    <w:jc w:val="left"/>
                    <w:textAlignment w:val="auto"/>
                    <w:rPr>
                      <w:rFonts w:hint="eastAsia" w:ascii="宋体" w:hAnsi="宋体" w:eastAsia="宋体" w:cs="宋体"/>
                      <w:color w:val="auto"/>
                      <w:kern w:val="2"/>
                      <w:sz w:val="21"/>
                      <w:szCs w:val="21"/>
                      <w:highlight w:val="none"/>
                      <w:u w:val="none"/>
                      <w:lang w:val="en-US" w:eastAsia="zh-CN" w:bidi="ar-SA"/>
                    </w:rPr>
                  </w:pPr>
                  <w:r>
                    <w:rPr>
                      <w:rFonts w:hint="eastAsia" w:ascii="宋体" w:hAnsi="宋体" w:eastAsia="宋体" w:cs="宋体"/>
                      <w:color w:val="auto"/>
                      <w:kern w:val="0"/>
                      <w:sz w:val="21"/>
                      <w:szCs w:val="21"/>
                      <w:highlight w:val="none"/>
                      <w:lang w:val="en-US" w:eastAsia="zh-CN" w:bidi="ar"/>
                    </w:rPr>
                    <w:t>2.高污染燃料禁燃区同时执行“1）在禁燃区内，禁止销售、燃用高污染燃料；禁止新建、扩建燃用高污染燃料的设施，已建成的，应当在城市人民政府规定的期限内改用天然气、页岩气、液化石油气、电或者其他清洁能源。2）城市建设应当统筹规划，在燃煤供热地区，推进热电联产和集中供热。在集中供热管网覆盖地区，禁止新建、扩建分散燃煤供热锅炉；已建成的不能达标排放的燃煤供热锅炉，应当在城市人民政府规定的期限内拆除。”</w:t>
                  </w:r>
                </w:p>
              </w:tc>
              <w:tc>
                <w:tcPr>
                  <w:tcW w:w="1540"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snapToGrid w:val="0"/>
                      <w:color w:val="auto"/>
                      <w:kern w:val="0"/>
                      <w:sz w:val="21"/>
                      <w:szCs w:val="21"/>
                      <w:highlight w:val="none"/>
                      <w:lang w:val="en-US"/>
                    </w:rPr>
                  </w:pPr>
                  <w:r>
                    <w:rPr>
                      <w:rFonts w:hint="eastAsia" w:ascii="宋体" w:hAnsi="宋体" w:eastAsia="宋体" w:cs="宋体"/>
                      <w:color w:val="auto"/>
                      <w:sz w:val="21"/>
                      <w:szCs w:val="21"/>
                      <w:highlight w:val="none"/>
                      <w:lang w:val="en-US" w:eastAsia="zh-CN"/>
                    </w:rPr>
                    <w:t>本项目无新增供热、供电、供水，均依托医院现有，本项目无新增废水，符合要求。</w:t>
                  </w:r>
                </w:p>
              </w:tc>
            </w:tr>
          </w:tbl>
          <w:p>
            <w:pPr>
              <w:pStyle w:val="39"/>
              <w:keepNext w:val="0"/>
              <w:keepLines w:val="0"/>
              <w:pageBreakBefore w:val="0"/>
              <w:widowControl w:val="0"/>
              <w:kinsoku/>
              <w:wordWrap/>
              <w:overflowPunct/>
              <w:topLinePunct w:val="0"/>
              <w:autoSpaceDE/>
              <w:autoSpaceDN/>
              <w:bidi w:val="0"/>
              <w:adjustRightInd w:val="0"/>
              <w:snapToGrid w:val="0"/>
              <w:ind w:firstLine="480" w:firstLineChars="200"/>
              <w:textAlignment w:val="baseline"/>
              <w:rPr>
                <w:rFonts w:hint="eastAsia" w:ascii="宋体" w:hAnsi="宋体" w:eastAsia="宋体" w:cs="宋体"/>
                <w:b/>
                <w:bCs/>
                <w:color w:val="auto"/>
                <w:sz w:val="24"/>
                <w:highlight w:val="none"/>
                <w:lang w:val="en-US" w:eastAsia="zh-CN"/>
              </w:rPr>
            </w:pPr>
            <w:r>
              <w:rPr>
                <w:rFonts w:hint="eastAsia" w:ascii="宋体" w:hAnsi="宋体" w:eastAsia="宋体" w:cs="宋体"/>
                <w:snapToGrid w:val="0"/>
                <w:color w:val="auto"/>
                <w:kern w:val="0"/>
                <w:sz w:val="24"/>
                <w:szCs w:val="21"/>
                <w:highlight w:val="none"/>
              </w:rPr>
              <w:t>本项目选址位于项目位于</w:t>
            </w:r>
            <w:r>
              <w:rPr>
                <w:rFonts w:hint="eastAsia" w:ascii="宋体" w:hAnsi="宋体" w:eastAsia="宋体" w:cs="宋体"/>
                <w:color w:val="auto"/>
                <w:sz w:val="24"/>
                <w:szCs w:val="24"/>
                <w:highlight w:val="none"/>
                <w:lang w:val="en-US" w:eastAsia="zh-CN"/>
              </w:rPr>
              <w:t>双鸭山市尖山区新兴大街200号</w:t>
            </w:r>
            <w:r>
              <w:rPr>
                <w:rFonts w:hint="eastAsia" w:ascii="宋体" w:hAnsi="宋体" w:eastAsia="宋体" w:cs="宋体"/>
                <w:snapToGrid w:val="0"/>
                <w:color w:val="auto"/>
                <w:kern w:val="0"/>
                <w:sz w:val="24"/>
                <w:szCs w:val="21"/>
                <w:highlight w:val="none"/>
              </w:rPr>
              <w:t>，本项目选址占地性质为</w:t>
            </w:r>
            <w:r>
              <w:rPr>
                <w:rFonts w:hint="eastAsia" w:ascii="宋体" w:hAnsi="宋体" w:eastAsia="宋体" w:cs="宋体"/>
                <w:snapToGrid w:val="0"/>
                <w:color w:val="auto"/>
                <w:kern w:val="0"/>
                <w:sz w:val="24"/>
                <w:szCs w:val="21"/>
                <w:highlight w:val="none"/>
                <w:lang w:val="en-US" w:eastAsia="zh-CN"/>
              </w:rPr>
              <w:t>医疗卫生</w:t>
            </w:r>
            <w:r>
              <w:rPr>
                <w:rFonts w:hint="eastAsia" w:ascii="宋体" w:hAnsi="宋体" w:eastAsia="宋体" w:cs="宋体"/>
                <w:snapToGrid w:val="0"/>
                <w:color w:val="auto"/>
                <w:kern w:val="0"/>
                <w:sz w:val="24"/>
                <w:szCs w:val="21"/>
                <w:highlight w:val="none"/>
              </w:rPr>
              <w:t>用地，并采取了有效、可行的污染治理措施，各项污染物均可达标排放，本项目建设对周围环境影响较小，因此本项目符合</w:t>
            </w:r>
            <w:r>
              <w:rPr>
                <w:rFonts w:hint="eastAsia" w:ascii="宋体" w:hAnsi="宋体" w:eastAsia="宋体" w:cs="宋体"/>
                <w:snapToGrid w:val="0"/>
                <w:color w:val="auto"/>
                <w:kern w:val="0"/>
                <w:sz w:val="24"/>
                <w:szCs w:val="21"/>
                <w:highlight w:val="none"/>
                <w:lang w:val="en-US" w:eastAsia="zh-CN"/>
              </w:rPr>
              <w:t>三线一单管控</w:t>
            </w:r>
            <w:r>
              <w:rPr>
                <w:rFonts w:hint="eastAsia" w:ascii="宋体" w:hAnsi="宋体" w:eastAsia="宋体" w:cs="宋体"/>
                <w:snapToGrid w:val="0"/>
                <w:color w:val="auto"/>
                <w:kern w:val="0"/>
                <w:sz w:val="24"/>
                <w:szCs w:val="21"/>
                <w:highlight w:val="none"/>
              </w:rPr>
              <w:t>要求。</w:t>
            </w:r>
          </w:p>
          <w:p>
            <w:pPr>
              <w:spacing w:line="360" w:lineRule="auto"/>
              <w:rPr>
                <w:rFonts w:hint="eastAsia" w:ascii="宋体" w:hAnsi="宋体" w:eastAsia="宋体" w:cs="宋体"/>
                <w:b/>
                <w:bCs/>
                <w:color w:val="auto"/>
                <w:sz w:val="24"/>
                <w:highlight w:val="none"/>
                <w:lang w:val="en-US" w:eastAsia="zh-CN"/>
              </w:rPr>
            </w:pPr>
            <w:r>
              <w:rPr>
                <w:rFonts w:hint="eastAsia" w:ascii="宋体" w:hAnsi="宋体" w:eastAsia="宋体" w:cs="宋体"/>
                <w:b/>
                <w:bCs/>
                <w:color w:val="auto"/>
                <w:sz w:val="24"/>
                <w:highlight w:val="none"/>
                <w:lang w:val="en-US" w:eastAsia="zh-CN"/>
              </w:rPr>
              <w:t>1.4项目选址合理性</w:t>
            </w:r>
          </w:p>
          <w:p>
            <w:pPr>
              <w:spacing w:line="360" w:lineRule="auto"/>
              <w:ind w:firstLine="435"/>
              <w:rPr>
                <w:rFonts w:hint="eastAsia" w:ascii="宋体" w:hAnsi="宋体" w:eastAsia="宋体" w:cs="宋体"/>
                <w:color w:val="auto"/>
                <w:sz w:val="24"/>
                <w:highlight w:val="none"/>
              </w:rPr>
            </w:pPr>
            <w:r>
              <w:rPr>
                <w:rFonts w:hint="eastAsia" w:ascii="宋体" w:hAnsi="宋体" w:eastAsia="宋体" w:cs="宋体"/>
                <w:color w:val="auto"/>
                <w:sz w:val="24"/>
                <w:highlight w:val="none"/>
                <w:lang w:eastAsia="zh-CN"/>
              </w:rPr>
              <w:t>双鸭山双矿医院有限公司位于双鸭山市尖山区新兴大街200号，</w:t>
            </w:r>
            <w:r>
              <w:rPr>
                <w:rFonts w:hint="eastAsia" w:ascii="宋体" w:hAnsi="宋体" w:eastAsia="宋体" w:cs="宋体"/>
                <w:color w:val="auto"/>
                <w:sz w:val="24"/>
                <w:highlight w:val="none"/>
                <w:lang w:val="en-US" w:eastAsia="zh-CN"/>
              </w:rPr>
              <w:t>该医院东侧为东平行路，南侧为总医院住宅区，西侧为新兴大街，北侧为双鸭山移动公司</w:t>
            </w:r>
            <w:r>
              <w:rPr>
                <w:rFonts w:hint="eastAsia" w:ascii="宋体" w:hAnsi="宋体" w:eastAsia="宋体" w:cs="宋体"/>
                <w:color w:val="auto"/>
                <w:sz w:val="24"/>
                <w:highlight w:val="none"/>
              </w:rPr>
              <w:t>。</w:t>
            </w:r>
          </w:p>
          <w:p>
            <w:pPr>
              <w:pStyle w:val="25"/>
              <w:spacing w:line="360" w:lineRule="auto"/>
              <w:ind w:firstLine="480" w:firstLineChars="200"/>
              <w:jc w:val="both"/>
              <w:rPr>
                <w:rFonts w:hint="eastAsia" w:ascii="宋体" w:hAnsi="宋体" w:eastAsia="宋体" w:cs="宋体"/>
                <w:color w:val="auto"/>
                <w:sz w:val="24"/>
                <w:highlight w:val="none"/>
              </w:rPr>
            </w:pPr>
            <w:r>
              <w:rPr>
                <w:rFonts w:hint="eastAsia" w:ascii="宋体" w:hAnsi="宋体" w:eastAsia="宋体" w:cs="宋体"/>
                <w:color w:val="auto"/>
                <w:sz w:val="24"/>
                <w:highlight w:val="none"/>
              </w:rPr>
              <w:t>本项目加速器机房位于</w:t>
            </w:r>
            <w:r>
              <w:rPr>
                <w:rFonts w:hint="eastAsia" w:ascii="宋体" w:hAnsi="宋体" w:eastAsia="宋体" w:cs="宋体"/>
                <w:color w:val="auto"/>
                <w:sz w:val="24"/>
                <w:highlight w:val="none"/>
                <w:lang w:val="en-US" w:eastAsia="zh-CN"/>
              </w:rPr>
              <w:t>双鸭山双矿医院有限公司院内新建直线加速器设备机房内，所在建筑为一层的独立建筑</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本项目直线加速器机房位于该独立建筑的西侧一端，故符合</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放射治疗辐射安全与防护要求</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HJ1198-2021</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中对于选址和布局的规定</w:t>
            </w:r>
            <w:r>
              <w:rPr>
                <w:rFonts w:hint="eastAsia" w:ascii="宋体" w:hAnsi="宋体" w:eastAsia="宋体" w:cs="宋体"/>
                <w:color w:val="0000FF"/>
                <w:sz w:val="24"/>
                <w:highlight w:val="none"/>
                <w:lang w:val="en-US" w:eastAsia="zh-CN"/>
              </w:rPr>
              <w:t>，</w:t>
            </w:r>
            <w:r>
              <w:rPr>
                <w:rFonts w:hint="eastAsia" w:ascii="宋体" w:hAnsi="宋体" w:eastAsia="宋体" w:cs="宋体"/>
                <w:color w:val="auto"/>
                <w:sz w:val="24"/>
                <w:highlight w:val="none"/>
                <w:lang w:val="en-US" w:eastAsia="zh-CN"/>
              </w:rPr>
              <w:t>加速器机房东侧为走廊、水冷机房、设备机房和室外，南侧为骨科楼放射治疗室，西侧为室外及院内道路，北侧为室外以及综合楼</w:t>
            </w:r>
            <w:r>
              <w:rPr>
                <w:rFonts w:hint="eastAsia" w:ascii="宋体" w:hAnsi="宋体" w:eastAsia="宋体" w:cs="宋体"/>
                <w:b w:val="0"/>
                <w:bCs/>
                <w:color w:val="auto"/>
                <w:sz w:val="24"/>
                <w:highlight w:val="none"/>
                <w:lang w:eastAsia="zh-CN"/>
              </w:rPr>
              <w:t>。</w:t>
            </w:r>
            <w:r>
              <w:rPr>
                <w:rFonts w:hint="eastAsia" w:ascii="宋体" w:hAnsi="宋体" w:eastAsia="宋体" w:cs="宋体"/>
                <w:color w:val="auto"/>
                <w:sz w:val="24"/>
                <w:highlight w:val="none"/>
                <w:lang w:val="en-US" w:eastAsia="zh-CN"/>
              </w:rPr>
              <w:t>满足</w:t>
            </w:r>
            <w:r>
              <w:rPr>
                <w:rFonts w:hint="eastAsia" w:ascii="宋体" w:hAnsi="宋体" w:eastAsia="宋体" w:cs="宋体"/>
                <w:color w:val="auto"/>
                <w:sz w:val="24"/>
                <w:highlight w:val="none"/>
                <w:lang w:eastAsia="zh-CN"/>
              </w:rPr>
              <w:t>《放射治疗放射防护要求》（GBZ121-2020）</w:t>
            </w:r>
            <w:r>
              <w:rPr>
                <w:rFonts w:hint="eastAsia" w:ascii="宋体" w:hAnsi="宋体" w:eastAsia="宋体" w:cs="宋体"/>
                <w:color w:val="auto"/>
                <w:sz w:val="24"/>
                <w:highlight w:val="none"/>
              </w:rPr>
              <w:t>中</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rPr>
              <w:t>放射治疗设施一般单独建造或建在建筑物底部的一端</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的要求，经预测，本项目直线加速器</w:t>
            </w:r>
            <w:r>
              <w:rPr>
                <w:rFonts w:hint="eastAsia" w:ascii="宋体" w:hAnsi="宋体" w:eastAsia="宋体" w:cs="宋体"/>
                <w:color w:val="auto"/>
                <w:sz w:val="24"/>
                <w:highlight w:val="none"/>
              </w:rPr>
              <w:t>机房屏蔽墙外剂量率均低于</w:t>
            </w:r>
            <w:r>
              <w:rPr>
                <w:rFonts w:hint="eastAsia" w:ascii="宋体" w:hAnsi="宋体" w:eastAsia="宋体" w:cs="宋体"/>
                <w:color w:val="auto"/>
                <w:sz w:val="24"/>
                <w:highlight w:val="none"/>
                <w:lang w:eastAsia="zh-CN"/>
              </w:rPr>
              <w:t>《放射治疗放射防护要求》（GBZ121-2020）</w:t>
            </w:r>
            <w:r>
              <w:rPr>
                <w:rFonts w:hint="eastAsia" w:ascii="宋体" w:hAnsi="宋体" w:eastAsia="宋体" w:cs="宋体"/>
                <w:color w:val="auto"/>
                <w:sz w:val="24"/>
                <w:highlight w:val="none"/>
              </w:rPr>
              <w:t>中周围剂量当量率控制水平</w:t>
            </w:r>
            <w:r>
              <w:rPr>
                <w:rFonts w:hint="eastAsia" w:ascii="宋体" w:hAnsi="宋体" w:eastAsia="宋体" w:cs="宋体"/>
                <w:color w:val="auto"/>
                <w:kern w:val="0"/>
                <w:sz w:val="24"/>
                <w:highlight w:val="none"/>
              </w:rPr>
              <w:t>的要求</w:t>
            </w: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lang w:val="en-US" w:eastAsia="zh-CN"/>
              </w:rPr>
              <w:t>项目所致职业人员、公众人员的年附加剂量均</w:t>
            </w:r>
            <w:r>
              <w:rPr>
                <w:rFonts w:hint="eastAsia" w:ascii="宋体" w:hAnsi="宋体" w:eastAsia="宋体" w:cs="宋体"/>
                <w:color w:val="auto"/>
                <w:sz w:val="24"/>
                <w:highlight w:val="none"/>
              </w:rPr>
              <w:t>满足《电离辐射防护与辐射源安全基本标准》（GB18871-2002）中剂量约束值</w:t>
            </w:r>
            <w:r>
              <w:rPr>
                <w:rFonts w:hint="eastAsia" w:ascii="宋体" w:hAnsi="宋体" w:eastAsia="宋体" w:cs="宋体"/>
                <w:color w:val="auto"/>
                <w:sz w:val="24"/>
                <w:highlight w:val="none"/>
                <w:lang w:val="en-US" w:eastAsia="zh-CN"/>
              </w:rPr>
              <w:t>的要求，对环境的影响可接受，因此本项目选址较为合理</w:t>
            </w:r>
            <w:r>
              <w:rPr>
                <w:rFonts w:hint="eastAsia" w:ascii="宋体" w:hAnsi="宋体" w:eastAsia="宋体" w:cs="宋体"/>
                <w:color w:val="auto"/>
                <w:spacing w:val="16"/>
                <w:kern w:val="0"/>
                <w:sz w:val="24"/>
                <w:highlight w:val="none"/>
              </w:rPr>
              <w:t>。</w:t>
            </w:r>
            <w:r>
              <w:rPr>
                <w:rFonts w:hint="eastAsia" w:ascii="宋体" w:hAnsi="宋体" w:eastAsia="宋体" w:cs="宋体"/>
                <w:color w:val="auto"/>
                <w:sz w:val="24"/>
                <w:highlight w:val="none"/>
              </w:rPr>
              <w:t>项目地理位置图见附图</w:t>
            </w:r>
            <w:r>
              <w:rPr>
                <w:rFonts w:hint="eastAsia" w:ascii="宋体" w:hAnsi="宋体" w:eastAsia="宋体" w:cs="宋体"/>
                <w:color w:val="auto"/>
                <w:sz w:val="24"/>
                <w:highlight w:val="none"/>
                <w:lang w:val="en-US" w:eastAsia="zh-CN"/>
              </w:rPr>
              <w:t>1，项目评价范围及与周围环境关系图见附图2，加速器机房平面布置图见附图3</w:t>
            </w:r>
            <w:r>
              <w:rPr>
                <w:rFonts w:hint="eastAsia" w:ascii="宋体" w:hAnsi="宋体" w:eastAsia="宋体" w:cs="宋体"/>
                <w:color w:val="auto"/>
                <w:sz w:val="24"/>
                <w:highlight w:val="none"/>
              </w:rPr>
              <w:t>。</w:t>
            </w:r>
          </w:p>
          <w:p>
            <w:pPr>
              <w:spacing w:line="360" w:lineRule="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1.4项目由来</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szCs w:val="24"/>
                <w:highlight w:val="none"/>
              </w:rPr>
              <w:t>根据</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环境影响评价法</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《放射性污染防治法》第二十九条和《放射性同位素与射线装置安全许可管理办法》第十条第（五）款</w:t>
            </w:r>
            <w:r>
              <w:rPr>
                <w:rFonts w:hint="eastAsia" w:ascii="宋体" w:hAnsi="宋体" w:eastAsia="宋体" w:cs="宋体"/>
                <w:color w:val="auto"/>
                <w:sz w:val="24"/>
                <w:szCs w:val="24"/>
                <w:highlight w:val="none"/>
                <w:lang w:val="en-US" w:eastAsia="zh-CN"/>
              </w:rPr>
              <w:t>相关规定，本项目应当进行环境影响评价。</w:t>
            </w:r>
            <w:r>
              <w:rPr>
                <w:rFonts w:hint="eastAsia" w:ascii="宋体" w:hAnsi="宋体" w:eastAsia="宋体" w:cs="宋体"/>
                <w:color w:val="auto"/>
                <w:sz w:val="24"/>
                <w:szCs w:val="24"/>
                <w:highlight w:val="none"/>
              </w:rPr>
              <w:t>根据《射线装置分类》（环境保护部、国家卫生计生委，2017年12 月5日起施行），本项目</w:t>
            </w:r>
            <w:r>
              <w:rPr>
                <w:rFonts w:hint="eastAsia" w:ascii="宋体" w:hAnsi="宋体" w:eastAsia="宋体" w:cs="宋体"/>
                <w:color w:val="auto"/>
                <w:sz w:val="24"/>
                <w:szCs w:val="24"/>
                <w:highlight w:val="none"/>
                <w:lang w:val="en-US" w:eastAsia="zh-CN"/>
              </w:rPr>
              <w:t>应用的医用直线加速器</w:t>
            </w:r>
            <w:r>
              <w:rPr>
                <w:rFonts w:hint="eastAsia" w:ascii="宋体" w:hAnsi="宋体" w:eastAsia="宋体" w:cs="宋体"/>
                <w:color w:val="auto"/>
                <w:sz w:val="24"/>
                <w:szCs w:val="24"/>
                <w:highlight w:val="none"/>
              </w:rPr>
              <w:t>属于Ⅱ类射线装置</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根据《建设项目环境影响评价分类管理名录（2021年版）》（生态环境部部令第16号）</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本项目属于</w:t>
            </w:r>
            <w:r>
              <w:rPr>
                <w:rFonts w:hint="eastAsia" w:ascii="宋体" w:hAnsi="宋体" w:eastAsia="宋体" w:cs="宋体"/>
                <w:color w:val="auto"/>
                <w:sz w:val="24"/>
                <w:szCs w:val="24"/>
                <w:highlight w:val="none"/>
              </w:rPr>
              <w:t>“五十五、核与辐射”“172、核技术利用建设项目”中“生</w:t>
            </w:r>
            <w:r>
              <w:rPr>
                <w:rFonts w:hint="eastAsia" w:ascii="宋体" w:hAnsi="宋体" w:eastAsia="宋体" w:cs="宋体"/>
                <w:color w:val="auto"/>
                <w:sz w:val="24"/>
                <w:highlight w:val="none"/>
              </w:rPr>
              <w:t>产、使用Ⅱ类射线装置的”</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rPr>
              <w:t>应编制环境影响报告表。受</w:t>
            </w:r>
            <w:r>
              <w:rPr>
                <w:rFonts w:hint="eastAsia" w:ascii="宋体" w:hAnsi="宋体" w:eastAsia="宋体" w:cs="宋体"/>
                <w:color w:val="auto"/>
                <w:sz w:val="24"/>
                <w:highlight w:val="none"/>
                <w:lang w:eastAsia="zh-CN"/>
              </w:rPr>
              <w:t>双鸭山双矿医院有限公司</w:t>
            </w:r>
            <w:r>
              <w:rPr>
                <w:rFonts w:hint="eastAsia" w:ascii="宋体" w:hAnsi="宋体" w:eastAsia="宋体" w:cs="宋体"/>
                <w:color w:val="auto"/>
                <w:sz w:val="24"/>
                <w:highlight w:val="none"/>
              </w:rPr>
              <w:t>委托，我公司承担了该项目的环境影响评价工作。评价单位在对该医院拟建加速器机房</w:t>
            </w:r>
            <w:r>
              <w:rPr>
                <w:rFonts w:hint="eastAsia" w:ascii="宋体" w:hAnsi="宋体" w:eastAsia="宋体" w:cs="宋体"/>
                <w:color w:val="auto"/>
                <w:sz w:val="24"/>
                <w:highlight w:val="none"/>
                <w:lang w:val="en-US" w:eastAsia="zh-CN"/>
              </w:rPr>
              <w:t>区域和周围环境</w:t>
            </w:r>
            <w:r>
              <w:rPr>
                <w:rFonts w:hint="eastAsia" w:ascii="宋体" w:hAnsi="宋体" w:eastAsia="宋体" w:cs="宋体"/>
                <w:color w:val="auto"/>
                <w:sz w:val="24"/>
                <w:highlight w:val="none"/>
              </w:rPr>
              <w:t>进行辐射环境水平监测的基础上，按照国家《辐射环境管理导则核技术利用建设项目环境影响评价文件的内容和格式》(HJ10.1-2016)，编制完成本项目的辐射环境影响报告表。</w:t>
            </w:r>
          </w:p>
          <w:p>
            <w:pPr>
              <w:spacing w:line="360" w:lineRule="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1.5评价目的</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（1）对该医院新增使用Ⅱ类射线装置</w:t>
            </w:r>
            <w:r>
              <w:rPr>
                <w:rFonts w:hint="eastAsia" w:ascii="宋体" w:hAnsi="宋体" w:eastAsia="宋体" w:cs="宋体"/>
                <w:color w:val="auto"/>
                <w:sz w:val="24"/>
                <w:highlight w:val="none"/>
                <w:lang w:val="en-US" w:eastAsia="zh-CN"/>
              </w:rPr>
              <w:t>直线加速器</w:t>
            </w:r>
            <w:r>
              <w:rPr>
                <w:rFonts w:hint="eastAsia" w:ascii="宋体" w:hAnsi="宋体" w:eastAsia="宋体" w:cs="宋体"/>
                <w:color w:val="auto"/>
                <w:sz w:val="24"/>
                <w:highlight w:val="none"/>
              </w:rPr>
              <w:t>进行环境影响评价，以掌握其运行后机房周围的辐射水平。</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（2）对不利影响和存在的问题提出防治措施，把辐射环境影响减少到</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rPr>
              <w:t>可合理达到的尽量低水平</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rPr>
              <w:t>。</w:t>
            </w:r>
          </w:p>
          <w:p>
            <w:pPr>
              <w:spacing w:line="360" w:lineRule="auto"/>
              <w:ind w:firstLine="480" w:firstLineChars="200"/>
              <w:rPr>
                <w:rFonts w:hint="eastAsia" w:ascii="宋体" w:hAnsi="宋体" w:eastAsia="宋体" w:cs="宋体"/>
                <w:color w:val="0000FF"/>
                <w:sz w:val="24"/>
                <w:highlight w:val="none"/>
              </w:rPr>
            </w:pPr>
            <w:r>
              <w:rPr>
                <w:rFonts w:hint="eastAsia" w:ascii="宋体" w:hAnsi="宋体" w:eastAsia="宋体" w:cs="宋体"/>
                <w:color w:val="auto"/>
                <w:sz w:val="24"/>
                <w:highlight w:val="none"/>
              </w:rPr>
              <w:t>（3）满足国家和地方生态环境部门对建设项目环境管理规定的要求，为该项目的辐射环境管理提供科学依据。</w:t>
            </w:r>
          </w:p>
        </w:tc>
      </w:tr>
    </w:tbl>
    <w:p>
      <w:pPr>
        <w:spacing w:line="360" w:lineRule="auto"/>
        <w:rPr>
          <w:rFonts w:hint="eastAsia" w:ascii="宋体" w:hAnsi="宋体" w:eastAsia="宋体" w:cs="宋体"/>
          <w:b/>
          <w:color w:val="0000FF"/>
          <w:sz w:val="24"/>
          <w:highlight w:val="none"/>
        </w:rPr>
        <w:sectPr>
          <w:footerReference r:id="rId4" w:type="default"/>
          <w:pgSz w:w="11906" w:h="16838"/>
          <w:pgMar w:top="1440" w:right="1800" w:bottom="1440" w:left="1800" w:header="851" w:footer="992" w:gutter="0"/>
          <w:pgBorders>
            <w:top w:val="none" w:sz="0" w:space="0"/>
            <w:left w:val="none" w:sz="0" w:space="0"/>
            <w:bottom w:val="none" w:sz="0" w:space="0"/>
            <w:right w:val="none" w:sz="0" w:space="0"/>
          </w:pgBorders>
          <w:pgNumType w:start="1"/>
          <w:cols w:space="425" w:num="1"/>
          <w:docGrid w:type="lines" w:linePitch="312" w:charSpace="0"/>
        </w:sectPr>
      </w:pPr>
    </w:p>
    <w:p>
      <w:pPr>
        <w:spacing w:line="360" w:lineRule="auto"/>
        <w:outlineLvl w:val="0"/>
        <w:rPr>
          <w:rFonts w:hint="eastAsia" w:ascii="宋体" w:hAnsi="宋体" w:eastAsia="宋体" w:cs="宋体"/>
          <w:b/>
          <w:color w:val="auto"/>
          <w:sz w:val="28"/>
          <w:szCs w:val="28"/>
          <w:highlight w:val="none"/>
        </w:rPr>
      </w:pPr>
      <w:bookmarkStart w:id="1" w:name="_Toc21604"/>
      <w:r>
        <w:rPr>
          <w:rFonts w:hint="eastAsia" w:ascii="宋体" w:hAnsi="宋体" w:eastAsia="宋体" w:cs="宋体"/>
          <w:b/>
          <w:color w:val="auto"/>
          <w:sz w:val="28"/>
          <w:szCs w:val="28"/>
          <w:highlight w:val="none"/>
        </w:rPr>
        <w:t>表2 放射源</w:t>
      </w:r>
      <w:bookmarkEnd w:id="1"/>
    </w:p>
    <w:tbl>
      <w:tblPr>
        <w:tblStyle w:val="1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74"/>
        <w:gridCol w:w="1575"/>
        <w:gridCol w:w="2062"/>
        <w:gridCol w:w="1088"/>
        <w:gridCol w:w="1575"/>
        <w:gridCol w:w="1575"/>
        <w:gridCol w:w="1575"/>
        <w:gridCol w:w="1771"/>
        <w:gridCol w:w="13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574" w:type="dxa"/>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序号</w:t>
            </w:r>
          </w:p>
        </w:tc>
        <w:tc>
          <w:tcPr>
            <w:tcW w:w="1575" w:type="dxa"/>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核素名称</w:t>
            </w:r>
          </w:p>
        </w:tc>
        <w:tc>
          <w:tcPr>
            <w:tcW w:w="2062" w:type="dxa"/>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总活度（Bq）/</w:t>
            </w:r>
          </w:p>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活度（Bq）×枚数</w:t>
            </w:r>
          </w:p>
        </w:tc>
        <w:tc>
          <w:tcPr>
            <w:tcW w:w="1088" w:type="dxa"/>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类别</w:t>
            </w:r>
          </w:p>
        </w:tc>
        <w:tc>
          <w:tcPr>
            <w:tcW w:w="1575" w:type="dxa"/>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活动种类</w:t>
            </w:r>
          </w:p>
        </w:tc>
        <w:tc>
          <w:tcPr>
            <w:tcW w:w="1575" w:type="dxa"/>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用途</w:t>
            </w:r>
          </w:p>
        </w:tc>
        <w:tc>
          <w:tcPr>
            <w:tcW w:w="1575" w:type="dxa"/>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使用场所</w:t>
            </w:r>
          </w:p>
        </w:tc>
        <w:tc>
          <w:tcPr>
            <w:tcW w:w="1771" w:type="dxa"/>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贮存方式与地点</w:t>
            </w:r>
          </w:p>
        </w:tc>
        <w:tc>
          <w:tcPr>
            <w:tcW w:w="1379" w:type="dxa"/>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574"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575"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2062"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088"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575"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575"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575"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771"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379"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574"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575"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2062"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088"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575"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575"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575"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771"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379"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574"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575"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2062"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088"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575"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575"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575"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771"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379"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574"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575"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2062"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088"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575"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575"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575"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771"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379"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574"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575"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2062"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088"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575"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575"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575"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771"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379"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r>
    </w:tbl>
    <w:p>
      <w:pPr>
        <w:rPr>
          <w:rFonts w:hint="eastAsia" w:ascii="宋体" w:hAnsi="宋体" w:eastAsia="宋体" w:cs="宋体"/>
          <w:color w:val="auto"/>
          <w:sz w:val="18"/>
          <w:szCs w:val="18"/>
          <w:highlight w:val="none"/>
        </w:rPr>
      </w:pPr>
      <w:r>
        <w:rPr>
          <w:rFonts w:hint="eastAsia" w:ascii="宋体" w:hAnsi="宋体" w:eastAsia="宋体" w:cs="宋体"/>
          <w:color w:val="auto"/>
          <w:sz w:val="18"/>
          <w:szCs w:val="18"/>
          <w:highlight w:val="none"/>
        </w:rPr>
        <w:t>注：放射源包括放射性中子源，对其要说明是何种核素以及产生的中子流强度（n/s）。</w:t>
      </w:r>
    </w:p>
    <w:p>
      <w:pPr>
        <w:rPr>
          <w:rFonts w:hint="eastAsia" w:ascii="宋体" w:hAnsi="宋体" w:eastAsia="宋体" w:cs="宋体"/>
          <w:color w:val="auto"/>
          <w:szCs w:val="21"/>
          <w:highlight w:val="none"/>
        </w:rPr>
      </w:pPr>
    </w:p>
    <w:p>
      <w:pPr>
        <w:rPr>
          <w:rFonts w:hint="eastAsia" w:ascii="宋体" w:hAnsi="宋体" w:eastAsia="宋体" w:cs="宋体"/>
          <w:color w:val="auto"/>
          <w:szCs w:val="21"/>
          <w:highlight w:val="none"/>
        </w:rPr>
      </w:pPr>
    </w:p>
    <w:p>
      <w:pPr>
        <w:spacing w:line="360" w:lineRule="auto"/>
        <w:outlineLvl w:val="0"/>
        <w:rPr>
          <w:rFonts w:hint="eastAsia" w:ascii="宋体" w:hAnsi="宋体" w:eastAsia="宋体" w:cs="宋体"/>
          <w:b/>
          <w:color w:val="auto"/>
          <w:sz w:val="28"/>
          <w:szCs w:val="28"/>
          <w:highlight w:val="none"/>
        </w:rPr>
      </w:pPr>
      <w:bookmarkStart w:id="2" w:name="_Toc27639"/>
      <w:r>
        <w:rPr>
          <w:rFonts w:hint="eastAsia" w:ascii="宋体" w:hAnsi="宋体" w:eastAsia="宋体" w:cs="宋体"/>
          <w:b/>
          <w:color w:val="auto"/>
          <w:sz w:val="28"/>
          <w:szCs w:val="28"/>
          <w:highlight w:val="none"/>
        </w:rPr>
        <w:t>表3 非密封放射性物质</w:t>
      </w:r>
      <w:bookmarkEnd w:id="2"/>
    </w:p>
    <w:tbl>
      <w:tblPr>
        <w:tblStyle w:val="1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0"/>
        <w:gridCol w:w="1095"/>
        <w:gridCol w:w="1080"/>
        <w:gridCol w:w="1095"/>
        <w:gridCol w:w="1530"/>
        <w:gridCol w:w="1440"/>
        <w:gridCol w:w="1380"/>
        <w:gridCol w:w="1125"/>
        <w:gridCol w:w="1500"/>
        <w:gridCol w:w="1425"/>
        <w:gridCol w:w="17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720" w:type="dxa"/>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序号</w:t>
            </w:r>
          </w:p>
        </w:tc>
        <w:tc>
          <w:tcPr>
            <w:tcW w:w="1095" w:type="dxa"/>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核素名称</w:t>
            </w:r>
          </w:p>
        </w:tc>
        <w:tc>
          <w:tcPr>
            <w:tcW w:w="1080" w:type="dxa"/>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理化性质</w:t>
            </w:r>
          </w:p>
        </w:tc>
        <w:tc>
          <w:tcPr>
            <w:tcW w:w="1095" w:type="dxa"/>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活动种类</w:t>
            </w:r>
          </w:p>
        </w:tc>
        <w:tc>
          <w:tcPr>
            <w:tcW w:w="1530" w:type="dxa"/>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实际日最大操作量（Bq）</w:t>
            </w:r>
          </w:p>
        </w:tc>
        <w:tc>
          <w:tcPr>
            <w:tcW w:w="1440" w:type="dxa"/>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日等效最大操作量（Bq）</w:t>
            </w:r>
          </w:p>
        </w:tc>
        <w:tc>
          <w:tcPr>
            <w:tcW w:w="1380" w:type="dxa"/>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年最大用量</w:t>
            </w:r>
          </w:p>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（Bq）</w:t>
            </w:r>
          </w:p>
        </w:tc>
        <w:tc>
          <w:tcPr>
            <w:tcW w:w="1125" w:type="dxa"/>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用途</w:t>
            </w:r>
          </w:p>
        </w:tc>
        <w:tc>
          <w:tcPr>
            <w:tcW w:w="1500" w:type="dxa"/>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操作方式</w:t>
            </w:r>
          </w:p>
        </w:tc>
        <w:tc>
          <w:tcPr>
            <w:tcW w:w="1425" w:type="dxa"/>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使用场所</w:t>
            </w:r>
          </w:p>
        </w:tc>
        <w:tc>
          <w:tcPr>
            <w:tcW w:w="1784" w:type="dxa"/>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贮存方式与地点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20"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095"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080"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095"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530"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440"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380" w:type="dxa"/>
            <w:vAlign w:val="top"/>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125"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500"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425"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784"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20"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095"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080"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095"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530"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440"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380" w:type="dxa"/>
            <w:vAlign w:val="top"/>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125"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500"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425"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784"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20"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095"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080"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095"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530"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440"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380" w:type="dxa"/>
            <w:vAlign w:val="top"/>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125"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500"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425"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784"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20"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095"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080"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095"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530"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440"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380" w:type="dxa"/>
            <w:vAlign w:val="top"/>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125"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500"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425"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784"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20"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095"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080"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095"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530"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440"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380" w:type="dxa"/>
            <w:vAlign w:val="top"/>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125"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500"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425"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784"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r>
    </w:tbl>
    <w:p>
      <w:pPr>
        <w:rPr>
          <w:rFonts w:hint="eastAsia" w:ascii="宋体" w:hAnsi="宋体" w:eastAsia="宋体" w:cs="宋体"/>
          <w:color w:val="auto"/>
          <w:sz w:val="18"/>
          <w:szCs w:val="18"/>
          <w:highlight w:val="none"/>
        </w:rPr>
      </w:pPr>
      <w:r>
        <w:rPr>
          <w:rFonts w:hint="eastAsia" w:ascii="宋体" w:hAnsi="宋体" w:eastAsia="宋体" w:cs="宋体"/>
          <w:color w:val="auto"/>
          <w:sz w:val="18"/>
          <w:szCs w:val="18"/>
          <w:highlight w:val="none"/>
        </w:rPr>
        <w:t>注：日等效最大操作量和操作方式见《电离辐射防护与辐射源安全基本标准》（GB 18871-2002）</w:t>
      </w:r>
    </w:p>
    <w:p>
      <w:pPr>
        <w:spacing w:line="360" w:lineRule="auto"/>
        <w:outlineLvl w:val="0"/>
        <w:rPr>
          <w:rFonts w:hint="eastAsia" w:ascii="宋体" w:hAnsi="宋体" w:eastAsia="宋体" w:cs="宋体"/>
          <w:b/>
          <w:color w:val="0000FF"/>
          <w:sz w:val="24"/>
          <w:highlight w:val="none"/>
        </w:rPr>
        <w:sectPr>
          <w:pgSz w:w="16838" w:h="11906" w:orient="landscape"/>
          <w:pgMar w:top="1588" w:right="1440" w:bottom="1588" w:left="1440" w:header="851" w:footer="992" w:gutter="0"/>
          <w:pgBorders>
            <w:top w:val="none" w:sz="0" w:space="0"/>
            <w:left w:val="none" w:sz="0" w:space="0"/>
            <w:bottom w:val="none" w:sz="0" w:space="0"/>
            <w:right w:val="none" w:sz="0" w:space="0"/>
          </w:pgBorders>
          <w:cols w:space="425" w:num="1"/>
          <w:docGrid w:type="lines" w:linePitch="312" w:charSpace="0"/>
        </w:sectPr>
      </w:pPr>
    </w:p>
    <w:p>
      <w:pPr>
        <w:spacing w:line="360" w:lineRule="auto"/>
        <w:outlineLvl w:val="0"/>
        <w:rPr>
          <w:rFonts w:hint="eastAsia" w:ascii="宋体" w:hAnsi="宋体" w:eastAsia="宋体" w:cs="宋体"/>
          <w:b/>
          <w:color w:val="auto"/>
          <w:sz w:val="28"/>
          <w:szCs w:val="28"/>
          <w:highlight w:val="none"/>
        </w:rPr>
      </w:pPr>
      <w:bookmarkStart w:id="3" w:name="_Toc21438"/>
      <w:r>
        <w:rPr>
          <w:rFonts w:hint="eastAsia" w:ascii="宋体" w:hAnsi="宋体" w:eastAsia="宋体" w:cs="宋体"/>
          <w:b/>
          <w:color w:val="auto"/>
          <w:sz w:val="28"/>
          <w:szCs w:val="28"/>
          <w:highlight w:val="none"/>
        </w:rPr>
        <w:t>表4 射线装置</w:t>
      </w:r>
      <w:bookmarkEnd w:id="3"/>
    </w:p>
    <w:p>
      <w:pPr>
        <w:rPr>
          <w:rFonts w:hint="eastAsia" w:ascii="宋体" w:hAnsi="宋体" w:eastAsia="宋体" w:cs="宋体"/>
          <w:color w:val="auto"/>
          <w:sz w:val="24"/>
          <w:highlight w:val="none"/>
        </w:rPr>
      </w:pPr>
      <w:r>
        <w:rPr>
          <w:rFonts w:hint="eastAsia" w:ascii="宋体" w:hAnsi="宋体" w:eastAsia="宋体" w:cs="宋体"/>
          <w:color w:val="auto"/>
          <w:sz w:val="24"/>
          <w:highlight w:val="none"/>
        </w:rPr>
        <w:t>（一）加速器：包括医用、工农业、科研、教学等用途的各种类型加速器</w:t>
      </w:r>
    </w:p>
    <w:tbl>
      <w:tblPr>
        <w:tblStyle w:val="1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0"/>
        <w:gridCol w:w="1455"/>
        <w:gridCol w:w="765"/>
        <w:gridCol w:w="975"/>
        <w:gridCol w:w="1020"/>
        <w:gridCol w:w="855"/>
        <w:gridCol w:w="3120"/>
        <w:gridCol w:w="1725"/>
        <w:gridCol w:w="1260"/>
        <w:gridCol w:w="1598"/>
        <w:gridCol w:w="7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660" w:type="dxa"/>
            <w:vAlign w:val="center"/>
          </w:tcPr>
          <w:p>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序号</w:t>
            </w:r>
          </w:p>
        </w:tc>
        <w:tc>
          <w:tcPr>
            <w:tcW w:w="1455" w:type="dxa"/>
            <w:vAlign w:val="center"/>
          </w:tcPr>
          <w:p>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名称</w:t>
            </w:r>
          </w:p>
        </w:tc>
        <w:tc>
          <w:tcPr>
            <w:tcW w:w="765" w:type="dxa"/>
            <w:vAlign w:val="center"/>
          </w:tcPr>
          <w:p>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类别</w:t>
            </w:r>
          </w:p>
        </w:tc>
        <w:tc>
          <w:tcPr>
            <w:tcW w:w="975" w:type="dxa"/>
            <w:vAlign w:val="center"/>
          </w:tcPr>
          <w:p>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数量</w:t>
            </w:r>
          </w:p>
        </w:tc>
        <w:tc>
          <w:tcPr>
            <w:tcW w:w="1020" w:type="dxa"/>
            <w:vAlign w:val="center"/>
          </w:tcPr>
          <w:p>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型号</w:t>
            </w:r>
          </w:p>
        </w:tc>
        <w:tc>
          <w:tcPr>
            <w:tcW w:w="855" w:type="dxa"/>
            <w:vAlign w:val="center"/>
          </w:tcPr>
          <w:p>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加速</w:t>
            </w:r>
          </w:p>
          <w:p>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粒子</w:t>
            </w:r>
          </w:p>
        </w:tc>
        <w:tc>
          <w:tcPr>
            <w:tcW w:w="3120" w:type="dxa"/>
            <w:vAlign w:val="center"/>
          </w:tcPr>
          <w:p>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最大能量</w:t>
            </w:r>
          </w:p>
        </w:tc>
        <w:tc>
          <w:tcPr>
            <w:tcW w:w="1725" w:type="dxa"/>
            <w:vAlign w:val="center"/>
          </w:tcPr>
          <w:p>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额定电流（mA）/剂量率（Gy/h）</w:t>
            </w:r>
          </w:p>
        </w:tc>
        <w:tc>
          <w:tcPr>
            <w:tcW w:w="1260" w:type="dxa"/>
            <w:vAlign w:val="center"/>
          </w:tcPr>
          <w:p>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用途</w:t>
            </w:r>
          </w:p>
        </w:tc>
        <w:tc>
          <w:tcPr>
            <w:tcW w:w="1598" w:type="dxa"/>
            <w:vAlign w:val="center"/>
          </w:tcPr>
          <w:p>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工作场所</w:t>
            </w:r>
          </w:p>
        </w:tc>
        <w:tc>
          <w:tcPr>
            <w:tcW w:w="741" w:type="dxa"/>
            <w:vAlign w:val="center"/>
          </w:tcPr>
          <w:p>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5" w:hRule="exact"/>
          <w:jc w:val="center"/>
        </w:trPr>
        <w:tc>
          <w:tcPr>
            <w:tcW w:w="660" w:type="dxa"/>
            <w:vAlign w:val="center"/>
          </w:tcPr>
          <w:p>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w:t>
            </w:r>
          </w:p>
        </w:tc>
        <w:tc>
          <w:tcPr>
            <w:tcW w:w="1455" w:type="dxa"/>
            <w:vAlign w:val="center"/>
          </w:tcPr>
          <w:p>
            <w:pPr>
              <w:jc w:val="center"/>
              <w:rPr>
                <w:rFonts w:hint="eastAsia" w:ascii="宋体" w:hAnsi="宋体" w:eastAsia="宋体" w:cs="宋体"/>
                <w:color w:val="auto"/>
                <w:spacing w:val="16"/>
                <w:sz w:val="21"/>
                <w:szCs w:val="21"/>
                <w:highlight w:val="none"/>
              </w:rPr>
            </w:pPr>
            <w:r>
              <w:rPr>
                <w:rFonts w:hint="eastAsia" w:ascii="宋体" w:hAnsi="宋体" w:eastAsia="宋体" w:cs="宋体"/>
                <w:color w:val="auto"/>
                <w:spacing w:val="16"/>
                <w:sz w:val="21"/>
                <w:szCs w:val="21"/>
                <w:highlight w:val="none"/>
              </w:rPr>
              <w:t>直线加速器</w:t>
            </w:r>
          </w:p>
        </w:tc>
        <w:tc>
          <w:tcPr>
            <w:tcW w:w="765" w:type="dxa"/>
            <w:vAlign w:val="center"/>
          </w:tcPr>
          <w:p>
            <w:pPr>
              <w:jc w:val="center"/>
              <w:rPr>
                <w:rFonts w:hint="eastAsia" w:ascii="宋体" w:hAnsi="宋体" w:eastAsia="宋体" w:cs="宋体"/>
                <w:color w:val="auto"/>
                <w:spacing w:val="16"/>
                <w:sz w:val="21"/>
                <w:szCs w:val="21"/>
                <w:highlight w:val="none"/>
              </w:rPr>
            </w:pPr>
            <w:r>
              <w:rPr>
                <w:rFonts w:hint="eastAsia" w:ascii="宋体" w:hAnsi="宋体" w:eastAsia="宋体" w:cs="宋体"/>
                <w:color w:val="auto"/>
                <w:spacing w:val="16"/>
                <w:sz w:val="21"/>
                <w:szCs w:val="21"/>
                <w:highlight w:val="none"/>
              </w:rPr>
              <w:t>Ⅱ类</w:t>
            </w:r>
          </w:p>
        </w:tc>
        <w:tc>
          <w:tcPr>
            <w:tcW w:w="975" w:type="dxa"/>
            <w:vAlign w:val="center"/>
          </w:tcPr>
          <w:p>
            <w:pPr>
              <w:jc w:val="center"/>
              <w:rPr>
                <w:rFonts w:hint="eastAsia" w:ascii="宋体" w:hAnsi="宋体" w:eastAsia="宋体" w:cs="宋体"/>
                <w:color w:val="auto"/>
                <w:spacing w:val="16"/>
                <w:sz w:val="21"/>
                <w:szCs w:val="21"/>
                <w:highlight w:val="none"/>
              </w:rPr>
            </w:pPr>
            <w:r>
              <w:rPr>
                <w:rFonts w:hint="eastAsia" w:ascii="宋体" w:hAnsi="宋体" w:eastAsia="宋体" w:cs="宋体"/>
                <w:color w:val="auto"/>
                <w:spacing w:val="16"/>
                <w:sz w:val="21"/>
                <w:szCs w:val="21"/>
                <w:highlight w:val="none"/>
              </w:rPr>
              <w:t>1台</w:t>
            </w:r>
          </w:p>
        </w:tc>
        <w:tc>
          <w:tcPr>
            <w:tcW w:w="1020" w:type="dxa"/>
            <w:vAlign w:val="center"/>
          </w:tcPr>
          <w:p>
            <w:pPr>
              <w:jc w:val="center"/>
              <w:rPr>
                <w:rFonts w:hint="eastAsia" w:ascii="宋体" w:hAnsi="宋体" w:eastAsia="宋体" w:cs="宋体"/>
                <w:color w:val="auto"/>
                <w:spacing w:val="16"/>
                <w:sz w:val="21"/>
                <w:szCs w:val="21"/>
                <w:highlight w:val="none"/>
                <w:lang w:eastAsia="zh-CN"/>
              </w:rPr>
            </w:pPr>
            <w:r>
              <w:rPr>
                <w:rFonts w:hint="eastAsia" w:ascii="宋体" w:hAnsi="宋体" w:eastAsia="宋体" w:cs="宋体"/>
                <w:color w:val="auto"/>
                <w:sz w:val="21"/>
                <w:szCs w:val="21"/>
                <w:highlight w:val="none"/>
                <w:lang w:eastAsia="zh-CN"/>
              </w:rPr>
              <w:t>Elekta Synergy</w:t>
            </w:r>
          </w:p>
        </w:tc>
        <w:tc>
          <w:tcPr>
            <w:tcW w:w="855" w:type="dxa"/>
            <w:vAlign w:val="center"/>
          </w:tcPr>
          <w:p>
            <w:pPr>
              <w:jc w:val="center"/>
              <w:rPr>
                <w:rFonts w:hint="eastAsia" w:ascii="宋体" w:hAnsi="宋体" w:eastAsia="宋体" w:cs="宋体"/>
                <w:color w:val="auto"/>
                <w:spacing w:val="16"/>
                <w:sz w:val="21"/>
                <w:szCs w:val="21"/>
                <w:highlight w:val="none"/>
              </w:rPr>
            </w:pPr>
            <w:r>
              <w:rPr>
                <w:rFonts w:hint="eastAsia" w:ascii="宋体" w:hAnsi="宋体" w:eastAsia="宋体" w:cs="宋体"/>
                <w:color w:val="auto"/>
                <w:spacing w:val="16"/>
                <w:sz w:val="21"/>
                <w:szCs w:val="21"/>
                <w:highlight w:val="none"/>
              </w:rPr>
              <w:t>电子</w:t>
            </w:r>
          </w:p>
        </w:tc>
        <w:tc>
          <w:tcPr>
            <w:tcW w:w="3120" w:type="dxa"/>
            <w:vAlign w:val="center"/>
          </w:tcPr>
          <w:p>
            <w:pPr>
              <w:ind w:firstLine="210" w:firstLineChars="100"/>
              <w:jc w:val="both"/>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X线：（6/10）MV</w:t>
            </w:r>
          </w:p>
          <w:p>
            <w:pPr>
              <w:ind w:firstLine="210" w:firstLineChars="100"/>
              <w:jc w:val="both"/>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电子束：（6/8/10/12/15）MeV</w:t>
            </w:r>
          </w:p>
          <w:p>
            <w:pPr>
              <w:jc w:val="center"/>
              <w:rPr>
                <w:rFonts w:hint="eastAsia" w:ascii="宋体" w:hAnsi="宋体" w:eastAsia="宋体" w:cs="宋体"/>
                <w:color w:val="auto"/>
                <w:spacing w:val="16"/>
                <w:sz w:val="21"/>
                <w:szCs w:val="21"/>
                <w:highlight w:val="none"/>
              </w:rPr>
            </w:pPr>
            <w:r>
              <w:rPr>
                <w:rFonts w:hint="eastAsia" w:ascii="宋体" w:hAnsi="宋体" w:eastAsia="宋体" w:cs="宋体"/>
                <w:color w:val="auto"/>
                <w:sz w:val="21"/>
                <w:szCs w:val="21"/>
                <w:highlight w:val="none"/>
                <w:lang w:val="en-US" w:eastAsia="zh-CN"/>
              </w:rPr>
              <w:t>剂量率最大为：600cGy/min</w:t>
            </w:r>
          </w:p>
        </w:tc>
        <w:tc>
          <w:tcPr>
            <w:tcW w:w="1725" w:type="dxa"/>
            <w:vAlign w:val="center"/>
          </w:tcPr>
          <w:p>
            <w:pPr>
              <w:jc w:val="center"/>
              <w:rPr>
                <w:rFonts w:hint="eastAsia" w:ascii="宋体" w:hAnsi="宋体" w:eastAsia="宋体" w:cs="宋体"/>
                <w:color w:val="auto"/>
                <w:spacing w:val="16"/>
                <w:sz w:val="21"/>
                <w:szCs w:val="21"/>
                <w:highlight w:val="none"/>
                <w:lang w:val="en-US" w:eastAsia="zh-CN"/>
              </w:rPr>
            </w:pPr>
            <w:r>
              <w:rPr>
                <w:rFonts w:hint="eastAsia" w:ascii="宋体" w:hAnsi="宋体" w:eastAsia="宋体" w:cs="宋体"/>
                <w:color w:val="auto"/>
                <w:spacing w:val="16"/>
                <w:sz w:val="21"/>
                <w:szCs w:val="21"/>
                <w:highlight w:val="none"/>
              </w:rPr>
              <w:t>*/</w:t>
            </w:r>
            <w:r>
              <w:rPr>
                <w:rFonts w:hint="eastAsia" w:ascii="宋体" w:hAnsi="宋体" w:eastAsia="宋体" w:cs="宋体"/>
                <w:color w:val="auto"/>
                <w:spacing w:val="16"/>
                <w:sz w:val="21"/>
                <w:szCs w:val="21"/>
                <w:highlight w:val="none"/>
                <w:lang w:val="en-US" w:eastAsia="zh-CN"/>
              </w:rPr>
              <w:t>360</w:t>
            </w:r>
          </w:p>
        </w:tc>
        <w:tc>
          <w:tcPr>
            <w:tcW w:w="1260" w:type="dxa"/>
            <w:vAlign w:val="center"/>
          </w:tcPr>
          <w:p>
            <w:pPr>
              <w:jc w:val="center"/>
              <w:rPr>
                <w:rFonts w:hint="eastAsia" w:ascii="宋体" w:hAnsi="宋体" w:eastAsia="宋体" w:cs="宋体"/>
                <w:color w:val="auto"/>
                <w:spacing w:val="16"/>
                <w:sz w:val="21"/>
                <w:szCs w:val="21"/>
                <w:highlight w:val="none"/>
              </w:rPr>
            </w:pPr>
            <w:r>
              <w:rPr>
                <w:rFonts w:hint="eastAsia" w:ascii="宋体" w:hAnsi="宋体" w:eastAsia="宋体" w:cs="宋体"/>
                <w:color w:val="auto"/>
                <w:spacing w:val="16"/>
                <w:sz w:val="21"/>
                <w:szCs w:val="21"/>
                <w:highlight w:val="none"/>
              </w:rPr>
              <w:t>放射治疗</w:t>
            </w:r>
          </w:p>
        </w:tc>
        <w:tc>
          <w:tcPr>
            <w:tcW w:w="1598" w:type="dxa"/>
            <w:vAlign w:val="center"/>
          </w:tcPr>
          <w:p>
            <w:pPr>
              <w:jc w:val="center"/>
              <w:rPr>
                <w:rFonts w:hint="eastAsia" w:ascii="宋体" w:hAnsi="宋体" w:eastAsia="宋体" w:cs="宋体"/>
                <w:color w:val="auto"/>
                <w:spacing w:val="16"/>
                <w:sz w:val="21"/>
                <w:szCs w:val="21"/>
                <w:highlight w:val="none"/>
              </w:rPr>
            </w:pPr>
            <w:r>
              <w:rPr>
                <w:rFonts w:hint="eastAsia" w:ascii="宋体" w:hAnsi="宋体" w:eastAsia="宋体" w:cs="宋体"/>
                <w:color w:val="auto"/>
                <w:spacing w:val="16"/>
                <w:sz w:val="21"/>
                <w:szCs w:val="21"/>
                <w:highlight w:val="none"/>
              </w:rPr>
              <w:t>加速器</w:t>
            </w:r>
            <w:r>
              <w:rPr>
                <w:rFonts w:hint="eastAsia" w:ascii="宋体" w:hAnsi="宋体" w:eastAsia="宋体" w:cs="宋体"/>
                <w:color w:val="auto"/>
                <w:spacing w:val="16"/>
                <w:sz w:val="21"/>
                <w:szCs w:val="21"/>
                <w:highlight w:val="none"/>
                <w:lang w:val="en-US" w:eastAsia="zh-CN"/>
              </w:rPr>
              <w:t>机房</w:t>
            </w:r>
          </w:p>
        </w:tc>
        <w:tc>
          <w:tcPr>
            <w:tcW w:w="741" w:type="dxa"/>
            <w:vAlign w:val="center"/>
          </w:tcPr>
          <w:p>
            <w:pPr>
              <w:jc w:val="center"/>
              <w:rPr>
                <w:rFonts w:hint="eastAsia" w:ascii="宋体" w:hAnsi="宋体" w:eastAsia="宋体" w:cs="宋体"/>
                <w:color w:val="auto"/>
                <w:spacing w:val="16"/>
                <w:sz w:val="21"/>
                <w:szCs w:val="21"/>
                <w:highlight w:val="none"/>
                <w:lang w:val="en-US" w:eastAsia="zh-CN"/>
              </w:rPr>
            </w:pPr>
            <w:r>
              <w:rPr>
                <w:rFonts w:hint="eastAsia" w:ascii="宋体" w:hAnsi="宋体" w:eastAsia="宋体" w:cs="宋体"/>
                <w:color w:val="auto"/>
                <w:spacing w:val="16"/>
                <w:sz w:val="21"/>
                <w:szCs w:val="21"/>
                <w:highlight w:val="none"/>
                <w:lang w:val="en-US" w:eastAsia="zh-CN"/>
              </w:rPr>
              <w:t>移机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660" w:type="dxa"/>
            <w:vAlign w:val="center"/>
          </w:tcPr>
          <w:p>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p>
        </w:tc>
        <w:tc>
          <w:tcPr>
            <w:tcW w:w="1455" w:type="dxa"/>
            <w:vAlign w:val="center"/>
          </w:tcPr>
          <w:p>
            <w:pPr>
              <w:jc w:val="center"/>
              <w:rPr>
                <w:rFonts w:hint="eastAsia" w:ascii="宋体" w:hAnsi="宋体" w:eastAsia="宋体" w:cs="宋体"/>
                <w:color w:val="auto"/>
                <w:spacing w:val="16"/>
                <w:sz w:val="21"/>
                <w:szCs w:val="21"/>
                <w:highlight w:val="none"/>
              </w:rPr>
            </w:pPr>
            <w:r>
              <w:rPr>
                <w:rFonts w:hint="eastAsia" w:ascii="宋体" w:hAnsi="宋体" w:eastAsia="宋体" w:cs="宋体"/>
                <w:color w:val="auto"/>
                <w:sz w:val="21"/>
                <w:szCs w:val="21"/>
                <w:highlight w:val="none"/>
              </w:rPr>
              <w:t>/</w:t>
            </w:r>
          </w:p>
        </w:tc>
        <w:tc>
          <w:tcPr>
            <w:tcW w:w="765" w:type="dxa"/>
            <w:vAlign w:val="center"/>
          </w:tcPr>
          <w:p>
            <w:pPr>
              <w:jc w:val="center"/>
              <w:rPr>
                <w:rFonts w:hint="eastAsia" w:ascii="宋体" w:hAnsi="宋体" w:eastAsia="宋体" w:cs="宋体"/>
                <w:color w:val="auto"/>
                <w:spacing w:val="16"/>
                <w:sz w:val="21"/>
                <w:szCs w:val="21"/>
                <w:highlight w:val="none"/>
              </w:rPr>
            </w:pPr>
            <w:r>
              <w:rPr>
                <w:rFonts w:hint="eastAsia" w:ascii="宋体" w:hAnsi="宋体" w:eastAsia="宋体" w:cs="宋体"/>
                <w:color w:val="auto"/>
                <w:sz w:val="21"/>
                <w:szCs w:val="21"/>
                <w:highlight w:val="none"/>
              </w:rPr>
              <w:t>/</w:t>
            </w:r>
          </w:p>
        </w:tc>
        <w:tc>
          <w:tcPr>
            <w:tcW w:w="975" w:type="dxa"/>
            <w:vAlign w:val="center"/>
          </w:tcPr>
          <w:p>
            <w:pPr>
              <w:jc w:val="center"/>
              <w:rPr>
                <w:rFonts w:hint="eastAsia" w:ascii="宋体" w:hAnsi="宋体" w:eastAsia="宋体" w:cs="宋体"/>
                <w:color w:val="auto"/>
                <w:spacing w:val="16"/>
                <w:sz w:val="21"/>
                <w:szCs w:val="21"/>
                <w:highlight w:val="none"/>
              </w:rPr>
            </w:pPr>
            <w:r>
              <w:rPr>
                <w:rFonts w:hint="eastAsia" w:ascii="宋体" w:hAnsi="宋体" w:eastAsia="宋体" w:cs="宋体"/>
                <w:color w:val="auto"/>
                <w:sz w:val="21"/>
                <w:szCs w:val="21"/>
                <w:highlight w:val="none"/>
              </w:rPr>
              <w:t>/</w:t>
            </w:r>
          </w:p>
        </w:tc>
        <w:tc>
          <w:tcPr>
            <w:tcW w:w="1020" w:type="dxa"/>
            <w:vAlign w:val="center"/>
          </w:tcPr>
          <w:p>
            <w:pPr>
              <w:jc w:val="center"/>
              <w:rPr>
                <w:rFonts w:hint="eastAsia" w:ascii="宋体" w:hAnsi="宋体" w:eastAsia="宋体" w:cs="宋体"/>
                <w:color w:val="auto"/>
                <w:spacing w:val="16"/>
                <w:sz w:val="21"/>
                <w:szCs w:val="21"/>
                <w:highlight w:val="none"/>
              </w:rPr>
            </w:pPr>
            <w:r>
              <w:rPr>
                <w:rFonts w:hint="eastAsia" w:ascii="宋体" w:hAnsi="宋体" w:eastAsia="宋体" w:cs="宋体"/>
                <w:color w:val="auto"/>
                <w:sz w:val="21"/>
                <w:szCs w:val="21"/>
                <w:highlight w:val="none"/>
              </w:rPr>
              <w:t>/</w:t>
            </w:r>
          </w:p>
        </w:tc>
        <w:tc>
          <w:tcPr>
            <w:tcW w:w="855" w:type="dxa"/>
            <w:vAlign w:val="center"/>
          </w:tcPr>
          <w:p>
            <w:pPr>
              <w:jc w:val="center"/>
              <w:rPr>
                <w:rFonts w:hint="eastAsia" w:ascii="宋体" w:hAnsi="宋体" w:eastAsia="宋体" w:cs="宋体"/>
                <w:color w:val="auto"/>
                <w:spacing w:val="16"/>
                <w:sz w:val="21"/>
                <w:szCs w:val="21"/>
                <w:highlight w:val="none"/>
              </w:rPr>
            </w:pPr>
            <w:r>
              <w:rPr>
                <w:rFonts w:hint="eastAsia" w:ascii="宋体" w:hAnsi="宋体" w:eastAsia="宋体" w:cs="宋体"/>
                <w:color w:val="auto"/>
                <w:sz w:val="21"/>
                <w:szCs w:val="21"/>
                <w:highlight w:val="none"/>
              </w:rPr>
              <w:t>/</w:t>
            </w:r>
          </w:p>
        </w:tc>
        <w:tc>
          <w:tcPr>
            <w:tcW w:w="3120" w:type="dxa"/>
            <w:vAlign w:val="center"/>
          </w:tcPr>
          <w:p>
            <w:pPr>
              <w:jc w:val="center"/>
              <w:rPr>
                <w:rFonts w:hint="eastAsia" w:ascii="宋体" w:hAnsi="宋体" w:eastAsia="宋体" w:cs="宋体"/>
                <w:color w:val="auto"/>
                <w:spacing w:val="16"/>
                <w:sz w:val="21"/>
                <w:szCs w:val="21"/>
                <w:highlight w:val="none"/>
              </w:rPr>
            </w:pPr>
            <w:r>
              <w:rPr>
                <w:rFonts w:hint="eastAsia" w:ascii="宋体" w:hAnsi="宋体" w:eastAsia="宋体" w:cs="宋体"/>
                <w:color w:val="auto"/>
                <w:sz w:val="21"/>
                <w:szCs w:val="21"/>
                <w:highlight w:val="none"/>
              </w:rPr>
              <w:t>/</w:t>
            </w:r>
          </w:p>
        </w:tc>
        <w:tc>
          <w:tcPr>
            <w:tcW w:w="1725" w:type="dxa"/>
            <w:vAlign w:val="center"/>
          </w:tcPr>
          <w:p>
            <w:pPr>
              <w:jc w:val="center"/>
              <w:rPr>
                <w:rFonts w:hint="eastAsia" w:ascii="宋体" w:hAnsi="宋体" w:eastAsia="宋体" w:cs="宋体"/>
                <w:color w:val="auto"/>
                <w:spacing w:val="16"/>
                <w:sz w:val="21"/>
                <w:szCs w:val="21"/>
                <w:highlight w:val="none"/>
                <w:lang w:val="en-US" w:eastAsia="zh-CN"/>
              </w:rPr>
            </w:pPr>
            <w:r>
              <w:rPr>
                <w:rFonts w:hint="eastAsia" w:ascii="宋体" w:hAnsi="宋体" w:eastAsia="宋体" w:cs="宋体"/>
                <w:color w:val="auto"/>
                <w:sz w:val="21"/>
                <w:szCs w:val="21"/>
                <w:highlight w:val="none"/>
              </w:rPr>
              <w:t>/</w:t>
            </w:r>
          </w:p>
        </w:tc>
        <w:tc>
          <w:tcPr>
            <w:tcW w:w="1260" w:type="dxa"/>
            <w:vAlign w:val="center"/>
          </w:tcPr>
          <w:p>
            <w:pPr>
              <w:jc w:val="center"/>
              <w:rPr>
                <w:rFonts w:hint="eastAsia" w:ascii="宋体" w:hAnsi="宋体" w:eastAsia="宋体" w:cs="宋体"/>
                <w:color w:val="auto"/>
                <w:spacing w:val="16"/>
                <w:sz w:val="21"/>
                <w:szCs w:val="21"/>
                <w:highlight w:val="none"/>
              </w:rPr>
            </w:pPr>
            <w:r>
              <w:rPr>
                <w:rFonts w:hint="eastAsia" w:ascii="宋体" w:hAnsi="宋体" w:eastAsia="宋体" w:cs="宋体"/>
                <w:color w:val="auto"/>
                <w:sz w:val="21"/>
                <w:szCs w:val="21"/>
                <w:highlight w:val="none"/>
              </w:rPr>
              <w:t>/</w:t>
            </w:r>
          </w:p>
        </w:tc>
        <w:tc>
          <w:tcPr>
            <w:tcW w:w="1598" w:type="dxa"/>
            <w:vAlign w:val="center"/>
          </w:tcPr>
          <w:p>
            <w:pPr>
              <w:jc w:val="center"/>
              <w:rPr>
                <w:rFonts w:hint="eastAsia" w:ascii="宋体" w:hAnsi="宋体" w:eastAsia="宋体" w:cs="宋体"/>
                <w:color w:val="auto"/>
                <w:spacing w:val="16"/>
                <w:sz w:val="21"/>
                <w:szCs w:val="21"/>
                <w:highlight w:val="none"/>
                <w:lang w:eastAsia="zh-CN"/>
              </w:rPr>
            </w:pPr>
            <w:r>
              <w:rPr>
                <w:rFonts w:hint="eastAsia" w:ascii="宋体" w:hAnsi="宋体" w:eastAsia="宋体" w:cs="宋体"/>
                <w:color w:val="auto"/>
                <w:sz w:val="21"/>
                <w:szCs w:val="21"/>
                <w:highlight w:val="none"/>
              </w:rPr>
              <w:t>/</w:t>
            </w:r>
          </w:p>
        </w:tc>
        <w:tc>
          <w:tcPr>
            <w:tcW w:w="741" w:type="dxa"/>
            <w:vAlign w:val="center"/>
          </w:tcPr>
          <w:p>
            <w:pPr>
              <w:jc w:val="center"/>
              <w:rPr>
                <w:rFonts w:hint="eastAsia" w:ascii="宋体" w:hAnsi="宋体" w:eastAsia="宋体" w:cs="宋体"/>
                <w:color w:val="auto"/>
                <w:spacing w:val="16"/>
                <w:sz w:val="21"/>
                <w:szCs w:val="21"/>
                <w:highlight w:val="none"/>
              </w:rPr>
            </w:pPr>
            <w:r>
              <w:rPr>
                <w:rFonts w:hint="eastAsia" w:ascii="宋体" w:hAnsi="宋体" w:eastAsia="宋体" w:cs="宋体"/>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660" w:type="dxa"/>
            <w:vAlign w:val="center"/>
          </w:tcPr>
          <w:p>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p>
        </w:tc>
        <w:tc>
          <w:tcPr>
            <w:tcW w:w="1455" w:type="dxa"/>
            <w:vAlign w:val="center"/>
          </w:tcPr>
          <w:p>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p>
        </w:tc>
        <w:tc>
          <w:tcPr>
            <w:tcW w:w="765" w:type="dxa"/>
            <w:vAlign w:val="center"/>
          </w:tcPr>
          <w:p>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p>
        </w:tc>
        <w:tc>
          <w:tcPr>
            <w:tcW w:w="975" w:type="dxa"/>
            <w:vAlign w:val="center"/>
          </w:tcPr>
          <w:p>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p>
        </w:tc>
        <w:tc>
          <w:tcPr>
            <w:tcW w:w="1020" w:type="dxa"/>
            <w:vAlign w:val="center"/>
          </w:tcPr>
          <w:p>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p>
        </w:tc>
        <w:tc>
          <w:tcPr>
            <w:tcW w:w="855" w:type="dxa"/>
            <w:vAlign w:val="center"/>
          </w:tcPr>
          <w:p>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p>
        </w:tc>
        <w:tc>
          <w:tcPr>
            <w:tcW w:w="3120" w:type="dxa"/>
            <w:vAlign w:val="center"/>
          </w:tcPr>
          <w:p>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p>
        </w:tc>
        <w:tc>
          <w:tcPr>
            <w:tcW w:w="1725" w:type="dxa"/>
            <w:vAlign w:val="center"/>
          </w:tcPr>
          <w:p>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p>
        </w:tc>
        <w:tc>
          <w:tcPr>
            <w:tcW w:w="1260" w:type="dxa"/>
            <w:vAlign w:val="center"/>
          </w:tcPr>
          <w:p>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p>
        </w:tc>
        <w:tc>
          <w:tcPr>
            <w:tcW w:w="1598" w:type="dxa"/>
            <w:vAlign w:val="center"/>
          </w:tcPr>
          <w:p>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p>
        </w:tc>
        <w:tc>
          <w:tcPr>
            <w:tcW w:w="741" w:type="dxa"/>
            <w:vAlign w:val="center"/>
          </w:tcPr>
          <w:p>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p>
        </w:tc>
      </w:tr>
    </w:tbl>
    <w:p>
      <w:pPr>
        <w:rPr>
          <w:rFonts w:hint="eastAsia" w:ascii="宋体" w:hAnsi="宋体" w:eastAsia="宋体" w:cs="宋体"/>
          <w:color w:val="auto"/>
          <w:sz w:val="24"/>
          <w:highlight w:val="none"/>
        </w:rPr>
      </w:pPr>
    </w:p>
    <w:p>
      <w:pPr>
        <w:rPr>
          <w:rFonts w:hint="eastAsia" w:ascii="宋体" w:hAnsi="宋体" w:eastAsia="宋体" w:cs="宋体"/>
          <w:color w:val="auto"/>
          <w:sz w:val="24"/>
          <w:highlight w:val="none"/>
        </w:rPr>
      </w:pPr>
      <w:r>
        <w:rPr>
          <w:rFonts w:hint="eastAsia" w:ascii="宋体" w:hAnsi="宋体" w:eastAsia="宋体" w:cs="宋体"/>
          <w:color w:val="auto"/>
          <w:sz w:val="24"/>
          <w:highlight w:val="none"/>
        </w:rPr>
        <w:t>（二）X射线机，包括工业探伤、医用诊断和治疗、分析等用途</w:t>
      </w:r>
    </w:p>
    <w:tbl>
      <w:tblPr>
        <w:tblStyle w:val="1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5"/>
        <w:gridCol w:w="2168"/>
        <w:gridCol w:w="1154"/>
        <w:gridCol w:w="689"/>
        <w:gridCol w:w="1884"/>
        <w:gridCol w:w="1392"/>
        <w:gridCol w:w="1323"/>
        <w:gridCol w:w="1151"/>
        <w:gridCol w:w="3019"/>
        <w:gridCol w:w="7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645" w:type="dxa"/>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序号</w:t>
            </w:r>
          </w:p>
        </w:tc>
        <w:tc>
          <w:tcPr>
            <w:tcW w:w="2168" w:type="dxa"/>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名称</w:t>
            </w:r>
          </w:p>
        </w:tc>
        <w:tc>
          <w:tcPr>
            <w:tcW w:w="1154" w:type="dxa"/>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类别</w:t>
            </w:r>
          </w:p>
        </w:tc>
        <w:tc>
          <w:tcPr>
            <w:tcW w:w="689" w:type="dxa"/>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数量</w:t>
            </w:r>
          </w:p>
        </w:tc>
        <w:tc>
          <w:tcPr>
            <w:tcW w:w="1884" w:type="dxa"/>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型号</w:t>
            </w:r>
          </w:p>
        </w:tc>
        <w:tc>
          <w:tcPr>
            <w:tcW w:w="1392" w:type="dxa"/>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最大管电压</w:t>
            </w:r>
          </w:p>
        </w:tc>
        <w:tc>
          <w:tcPr>
            <w:tcW w:w="1323" w:type="dxa"/>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最大管电流</w:t>
            </w:r>
          </w:p>
        </w:tc>
        <w:tc>
          <w:tcPr>
            <w:tcW w:w="1151" w:type="dxa"/>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用途</w:t>
            </w:r>
          </w:p>
        </w:tc>
        <w:tc>
          <w:tcPr>
            <w:tcW w:w="3019" w:type="dxa"/>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工作场所</w:t>
            </w:r>
          </w:p>
        </w:tc>
        <w:tc>
          <w:tcPr>
            <w:tcW w:w="749" w:type="dxa"/>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645"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2168"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154"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689"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884"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392"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323"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151"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3019"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749"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645"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2168"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154"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689"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884"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392"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323"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151"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3019"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749"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r>
    </w:tbl>
    <w:p>
      <w:pPr>
        <w:rPr>
          <w:rFonts w:hint="eastAsia" w:ascii="宋体" w:hAnsi="宋体" w:eastAsia="宋体" w:cs="宋体"/>
          <w:color w:val="auto"/>
          <w:sz w:val="24"/>
          <w:highlight w:val="none"/>
        </w:rPr>
      </w:pPr>
    </w:p>
    <w:p>
      <w:pPr>
        <w:rPr>
          <w:rFonts w:hint="eastAsia" w:ascii="宋体" w:hAnsi="宋体" w:eastAsia="宋体" w:cs="宋体"/>
          <w:color w:val="auto"/>
          <w:sz w:val="24"/>
          <w:highlight w:val="none"/>
        </w:rPr>
      </w:pPr>
      <w:r>
        <w:rPr>
          <w:rFonts w:hint="eastAsia" w:ascii="宋体" w:hAnsi="宋体" w:eastAsia="宋体" w:cs="宋体"/>
          <w:color w:val="auto"/>
          <w:sz w:val="24"/>
          <w:highlight w:val="none"/>
        </w:rPr>
        <w:t>（三）中子发生器，包括中子管，但不包括放射性中子源</w:t>
      </w:r>
    </w:p>
    <w:tbl>
      <w:tblPr>
        <w:tblStyle w:val="1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2"/>
        <w:gridCol w:w="1012"/>
        <w:gridCol w:w="1012"/>
        <w:gridCol w:w="1012"/>
        <w:gridCol w:w="1012"/>
        <w:gridCol w:w="1105"/>
        <w:gridCol w:w="1110"/>
        <w:gridCol w:w="1140"/>
        <w:gridCol w:w="915"/>
        <w:gridCol w:w="792"/>
        <w:gridCol w:w="1068"/>
        <w:gridCol w:w="1140"/>
        <w:gridCol w:w="1095"/>
        <w:gridCol w:w="7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jc w:val="center"/>
        </w:trPr>
        <w:tc>
          <w:tcPr>
            <w:tcW w:w="1012" w:type="dxa"/>
            <w:vMerge w:val="restart"/>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序号</w:t>
            </w:r>
          </w:p>
        </w:tc>
        <w:tc>
          <w:tcPr>
            <w:tcW w:w="1012" w:type="dxa"/>
            <w:vMerge w:val="restart"/>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名称</w:t>
            </w:r>
          </w:p>
        </w:tc>
        <w:tc>
          <w:tcPr>
            <w:tcW w:w="1012" w:type="dxa"/>
            <w:vMerge w:val="restart"/>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类别</w:t>
            </w:r>
          </w:p>
        </w:tc>
        <w:tc>
          <w:tcPr>
            <w:tcW w:w="1012" w:type="dxa"/>
            <w:vMerge w:val="restart"/>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数量</w:t>
            </w:r>
          </w:p>
        </w:tc>
        <w:tc>
          <w:tcPr>
            <w:tcW w:w="1012" w:type="dxa"/>
            <w:vMerge w:val="restart"/>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型号</w:t>
            </w:r>
          </w:p>
        </w:tc>
        <w:tc>
          <w:tcPr>
            <w:tcW w:w="1105" w:type="dxa"/>
            <w:vMerge w:val="restart"/>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最大管电压（kV）</w:t>
            </w:r>
          </w:p>
        </w:tc>
        <w:tc>
          <w:tcPr>
            <w:tcW w:w="1110" w:type="dxa"/>
            <w:vMerge w:val="restart"/>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最大靶电流（μA）</w:t>
            </w:r>
          </w:p>
        </w:tc>
        <w:tc>
          <w:tcPr>
            <w:tcW w:w="1140" w:type="dxa"/>
            <w:vMerge w:val="restart"/>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中子强度（n/s）</w:t>
            </w:r>
          </w:p>
        </w:tc>
        <w:tc>
          <w:tcPr>
            <w:tcW w:w="915" w:type="dxa"/>
            <w:vMerge w:val="restart"/>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用途</w:t>
            </w:r>
          </w:p>
        </w:tc>
        <w:tc>
          <w:tcPr>
            <w:tcW w:w="792" w:type="dxa"/>
            <w:vMerge w:val="restart"/>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工作场所</w:t>
            </w:r>
          </w:p>
        </w:tc>
        <w:tc>
          <w:tcPr>
            <w:tcW w:w="3303" w:type="dxa"/>
            <w:gridSpan w:val="3"/>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氚靶情况</w:t>
            </w:r>
          </w:p>
        </w:tc>
        <w:tc>
          <w:tcPr>
            <w:tcW w:w="749" w:type="dxa"/>
            <w:vMerge w:val="restart"/>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012" w:type="dxa"/>
            <w:vMerge w:val="continue"/>
            <w:vAlign w:val="center"/>
          </w:tcPr>
          <w:p>
            <w:pPr>
              <w:jc w:val="center"/>
              <w:rPr>
                <w:rFonts w:hint="eastAsia" w:ascii="宋体" w:hAnsi="宋体" w:eastAsia="宋体" w:cs="宋体"/>
                <w:color w:val="auto"/>
                <w:szCs w:val="21"/>
                <w:highlight w:val="none"/>
              </w:rPr>
            </w:pPr>
          </w:p>
        </w:tc>
        <w:tc>
          <w:tcPr>
            <w:tcW w:w="1012" w:type="dxa"/>
            <w:vMerge w:val="continue"/>
            <w:vAlign w:val="center"/>
          </w:tcPr>
          <w:p>
            <w:pPr>
              <w:jc w:val="center"/>
              <w:rPr>
                <w:rFonts w:hint="eastAsia" w:ascii="宋体" w:hAnsi="宋体" w:eastAsia="宋体" w:cs="宋体"/>
                <w:color w:val="auto"/>
                <w:szCs w:val="21"/>
                <w:highlight w:val="none"/>
              </w:rPr>
            </w:pPr>
          </w:p>
        </w:tc>
        <w:tc>
          <w:tcPr>
            <w:tcW w:w="1012" w:type="dxa"/>
            <w:vMerge w:val="continue"/>
            <w:vAlign w:val="center"/>
          </w:tcPr>
          <w:p>
            <w:pPr>
              <w:jc w:val="center"/>
              <w:rPr>
                <w:rFonts w:hint="eastAsia" w:ascii="宋体" w:hAnsi="宋体" w:eastAsia="宋体" w:cs="宋体"/>
                <w:color w:val="auto"/>
                <w:szCs w:val="21"/>
                <w:highlight w:val="none"/>
              </w:rPr>
            </w:pPr>
          </w:p>
        </w:tc>
        <w:tc>
          <w:tcPr>
            <w:tcW w:w="1012" w:type="dxa"/>
            <w:vMerge w:val="continue"/>
            <w:vAlign w:val="center"/>
          </w:tcPr>
          <w:p>
            <w:pPr>
              <w:jc w:val="center"/>
              <w:rPr>
                <w:rFonts w:hint="eastAsia" w:ascii="宋体" w:hAnsi="宋体" w:eastAsia="宋体" w:cs="宋体"/>
                <w:color w:val="auto"/>
                <w:szCs w:val="21"/>
                <w:highlight w:val="none"/>
              </w:rPr>
            </w:pPr>
          </w:p>
        </w:tc>
        <w:tc>
          <w:tcPr>
            <w:tcW w:w="1012" w:type="dxa"/>
            <w:vMerge w:val="continue"/>
            <w:vAlign w:val="center"/>
          </w:tcPr>
          <w:p>
            <w:pPr>
              <w:jc w:val="center"/>
              <w:rPr>
                <w:rFonts w:hint="eastAsia" w:ascii="宋体" w:hAnsi="宋体" w:eastAsia="宋体" w:cs="宋体"/>
                <w:color w:val="auto"/>
                <w:szCs w:val="21"/>
                <w:highlight w:val="none"/>
              </w:rPr>
            </w:pPr>
          </w:p>
        </w:tc>
        <w:tc>
          <w:tcPr>
            <w:tcW w:w="1105" w:type="dxa"/>
            <w:vMerge w:val="continue"/>
            <w:vAlign w:val="center"/>
          </w:tcPr>
          <w:p>
            <w:pPr>
              <w:jc w:val="center"/>
              <w:rPr>
                <w:rFonts w:hint="eastAsia" w:ascii="宋体" w:hAnsi="宋体" w:eastAsia="宋体" w:cs="宋体"/>
                <w:color w:val="auto"/>
                <w:szCs w:val="21"/>
                <w:highlight w:val="none"/>
              </w:rPr>
            </w:pPr>
          </w:p>
        </w:tc>
        <w:tc>
          <w:tcPr>
            <w:tcW w:w="1110" w:type="dxa"/>
            <w:vMerge w:val="continue"/>
            <w:vAlign w:val="center"/>
          </w:tcPr>
          <w:p>
            <w:pPr>
              <w:jc w:val="center"/>
              <w:rPr>
                <w:rFonts w:hint="eastAsia" w:ascii="宋体" w:hAnsi="宋体" w:eastAsia="宋体" w:cs="宋体"/>
                <w:color w:val="auto"/>
                <w:szCs w:val="21"/>
                <w:highlight w:val="none"/>
              </w:rPr>
            </w:pPr>
          </w:p>
        </w:tc>
        <w:tc>
          <w:tcPr>
            <w:tcW w:w="1140" w:type="dxa"/>
            <w:vMerge w:val="continue"/>
            <w:vAlign w:val="center"/>
          </w:tcPr>
          <w:p>
            <w:pPr>
              <w:jc w:val="center"/>
              <w:rPr>
                <w:rFonts w:hint="eastAsia" w:ascii="宋体" w:hAnsi="宋体" w:eastAsia="宋体" w:cs="宋体"/>
                <w:color w:val="auto"/>
                <w:szCs w:val="21"/>
                <w:highlight w:val="none"/>
              </w:rPr>
            </w:pPr>
          </w:p>
        </w:tc>
        <w:tc>
          <w:tcPr>
            <w:tcW w:w="915" w:type="dxa"/>
            <w:vMerge w:val="continue"/>
            <w:vAlign w:val="center"/>
          </w:tcPr>
          <w:p>
            <w:pPr>
              <w:jc w:val="center"/>
              <w:rPr>
                <w:rFonts w:hint="eastAsia" w:ascii="宋体" w:hAnsi="宋体" w:eastAsia="宋体" w:cs="宋体"/>
                <w:color w:val="auto"/>
                <w:szCs w:val="21"/>
                <w:highlight w:val="none"/>
              </w:rPr>
            </w:pPr>
          </w:p>
        </w:tc>
        <w:tc>
          <w:tcPr>
            <w:tcW w:w="792" w:type="dxa"/>
            <w:vMerge w:val="continue"/>
            <w:vAlign w:val="center"/>
          </w:tcPr>
          <w:p>
            <w:pPr>
              <w:jc w:val="center"/>
              <w:rPr>
                <w:rFonts w:hint="eastAsia" w:ascii="宋体" w:hAnsi="宋体" w:eastAsia="宋体" w:cs="宋体"/>
                <w:color w:val="auto"/>
                <w:szCs w:val="21"/>
                <w:highlight w:val="none"/>
              </w:rPr>
            </w:pPr>
          </w:p>
        </w:tc>
        <w:tc>
          <w:tcPr>
            <w:tcW w:w="1068" w:type="dxa"/>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活度（Ba）</w:t>
            </w:r>
          </w:p>
        </w:tc>
        <w:tc>
          <w:tcPr>
            <w:tcW w:w="1140" w:type="dxa"/>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贮存方式</w:t>
            </w:r>
          </w:p>
        </w:tc>
        <w:tc>
          <w:tcPr>
            <w:tcW w:w="1095" w:type="dxa"/>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数量</w:t>
            </w:r>
          </w:p>
        </w:tc>
        <w:tc>
          <w:tcPr>
            <w:tcW w:w="749" w:type="dxa"/>
            <w:vMerge w:val="continue"/>
            <w:vAlign w:val="center"/>
          </w:tcPr>
          <w:p>
            <w:pPr>
              <w:jc w:val="center"/>
              <w:rPr>
                <w:rFonts w:hint="eastAsia" w:ascii="宋体" w:hAnsi="宋体" w:eastAsia="宋体" w:cs="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012"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012"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012"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012"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012"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105"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110"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140"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915"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792"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068"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140"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095"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749"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012"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012"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012"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012"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012"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105"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110"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140"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915"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792"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068"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140"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095"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749"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012"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012"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012"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012"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012"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105"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110"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140"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915"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792"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068"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140"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095"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749" w:type="dxa"/>
          </w:tcPr>
          <w:p>
            <w:pPr>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r>
    </w:tbl>
    <w:p>
      <w:pPr>
        <w:rPr>
          <w:rFonts w:hint="eastAsia" w:ascii="宋体" w:hAnsi="宋体" w:eastAsia="宋体" w:cs="宋体"/>
          <w:color w:val="0000FF"/>
          <w:szCs w:val="21"/>
          <w:highlight w:val="none"/>
        </w:rPr>
        <w:sectPr>
          <w:pgSz w:w="16838" w:h="11906" w:orient="landscape"/>
          <w:pgMar w:top="1588" w:right="1440" w:bottom="1588" w:left="1440" w:header="851" w:footer="992" w:gutter="0"/>
          <w:pgBorders>
            <w:top w:val="none" w:sz="0" w:space="0"/>
            <w:left w:val="none" w:sz="0" w:space="0"/>
            <w:bottom w:val="none" w:sz="0" w:space="0"/>
            <w:right w:val="none" w:sz="0" w:space="0"/>
          </w:pgBorders>
          <w:cols w:space="425" w:num="1"/>
          <w:docGrid w:type="lines" w:linePitch="312" w:charSpace="0"/>
        </w:sectPr>
      </w:pPr>
    </w:p>
    <w:p>
      <w:pPr>
        <w:spacing w:line="360" w:lineRule="auto"/>
        <w:outlineLvl w:val="0"/>
        <w:rPr>
          <w:rFonts w:hint="eastAsia" w:ascii="宋体" w:hAnsi="宋体" w:eastAsia="宋体" w:cs="宋体"/>
          <w:b/>
          <w:color w:val="auto"/>
          <w:sz w:val="28"/>
          <w:szCs w:val="28"/>
          <w:highlight w:val="none"/>
        </w:rPr>
      </w:pPr>
      <w:bookmarkStart w:id="4" w:name="_Toc11030"/>
      <w:r>
        <w:rPr>
          <w:rFonts w:hint="eastAsia" w:ascii="宋体" w:hAnsi="宋体" w:eastAsia="宋体" w:cs="宋体"/>
          <w:b/>
          <w:color w:val="auto"/>
          <w:sz w:val="28"/>
          <w:szCs w:val="28"/>
          <w:highlight w:val="none"/>
        </w:rPr>
        <w:t>表5 废弃物（重点是放射性废弃物）</w:t>
      </w:r>
      <w:bookmarkEnd w:id="4"/>
    </w:p>
    <w:tbl>
      <w:tblPr>
        <w:tblStyle w:val="1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1"/>
        <w:gridCol w:w="952"/>
        <w:gridCol w:w="875"/>
        <w:gridCol w:w="848"/>
        <w:gridCol w:w="855"/>
        <w:gridCol w:w="825"/>
        <w:gridCol w:w="915"/>
        <w:gridCol w:w="1440"/>
        <w:gridCol w:w="12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5" w:hRule="exact"/>
          <w:jc w:val="center"/>
        </w:trPr>
        <w:tc>
          <w:tcPr>
            <w:tcW w:w="951" w:type="dxa"/>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名称</w:t>
            </w:r>
          </w:p>
        </w:tc>
        <w:tc>
          <w:tcPr>
            <w:tcW w:w="952" w:type="dxa"/>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状态</w:t>
            </w:r>
          </w:p>
        </w:tc>
        <w:tc>
          <w:tcPr>
            <w:tcW w:w="875" w:type="dxa"/>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核素</w:t>
            </w:r>
          </w:p>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名称</w:t>
            </w:r>
          </w:p>
        </w:tc>
        <w:tc>
          <w:tcPr>
            <w:tcW w:w="848" w:type="dxa"/>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活度</w:t>
            </w:r>
          </w:p>
        </w:tc>
        <w:tc>
          <w:tcPr>
            <w:tcW w:w="855" w:type="dxa"/>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月排</w:t>
            </w:r>
          </w:p>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放量</w:t>
            </w:r>
          </w:p>
        </w:tc>
        <w:tc>
          <w:tcPr>
            <w:tcW w:w="825" w:type="dxa"/>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年排放总量</w:t>
            </w:r>
          </w:p>
        </w:tc>
        <w:tc>
          <w:tcPr>
            <w:tcW w:w="915" w:type="dxa"/>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排放口</w:t>
            </w:r>
          </w:p>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浓度</w:t>
            </w:r>
          </w:p>
        </w:tc>
        <w:tc>
          <w:tcPr>
            <w:tcW w:w="1440" w:type="dxa"/>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暂存</w:t>
            </w:r>
          </w:p>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情况</w:t>
            </w:r>
          </w:p>
        </w:tc>
        <w:tc>
          <w:tcPr>
            <w:tcW w:w="1285" w:type="dxa"/>
            <w:vAlign w:val="center"/>
          </w:tcPr>
          <w:p>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最终去向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exact"/>
          <w:jc w:val="center"/>
        </w:trPr>
        <w:tc>
          <w:tcPr>
            <w:tcW w:w="951" w:type="dxa"/>
            <w:vAlign w:val="center"/>
          </w:tcPr>
          <w:p>
            <w:pPr>
              <w:spacing w:line="240" w:lineRule="auto"/>
              <w:jc w:val="center"/>
              <w:rPr>
                <w:rFonts w:hint="eastAsia" w:ascii="宋体" w:hAnsi="宋体" w:eastAsia="宋体" w:cs="宋体"/>
                <w:color w:val="auto"/>
                <w:highlight w:val="none"/>
                <w:vertAlign w:val="subscript"/>
              </w:rPr>
            </w:pPr>
            <w:r>
              <w:rPr>
                <w:rFonts w:hint="eastAsia" w:ascii="宋体" w:hAnsi="宋体" w:eastAsia="宋体" w:cs="宋体"/>
                <w:color w:val="auto"/>
                <w:szCs w:val="21"/>
                <w:highlight w:val="none"/>
              </w:rPr>
              <w:t>O</w:t>
            </w:r>
            <w:r>
              <w:rPr>
                <w:rFonts w:hint="eastAsia" w:ascii="宋体" w:hAnsi="宋体" w:eastAsia="宋体" w:cs="宋体"/>
                <w:color w:val="auto"/>
                <w:szCs w:val="21"/>
                <w:highlight w:val="none"/>
                <w:vertAlign w:val="subscript"/>
              </w:rPr>
              <w:t>3</w:t>
            </w:r>
            <w:r>
              <w:rPr>
                <w:rFonts w:hint="eastAsia" w:ascii="宋体" w:hAnsi="宋体" w:eastAsia="宋体" w:cs="宋体"/>
                <w:color w:val="auto"/>
                <w:szCs w:val="21"/>
                <w:highlight w:val="none"/>
              </w:rPr>
              <w:t>和NO</w:t>
            </w:r>
            <w:r>
              <w:rPr>
                <w:rFonts w:hint="eastAsia" w:ascii="宋体" w:hAnsi="宋体" w:eastAsia="宋体" w:cs="宋体"/>
                <w:color w:val="auto"/>
                <w:szCs w:val="21"/>
                <w:highlight w:val="none"/>
                <w:vertAlign w:val="subscript"/>
              </w:rPr>
              <w:t>x</w:t>
            </w:r>
          </w:p>
        </w:tc>
        <w:tc>
          <w:tcPr>
            <w:tcW w:w="952" w:type="dxa"/>
            <w:vAlign w:val="center"/>
          </w:tcPr>
          <w:p>
            <w:pPr>
              <w:spacing w:line="240" w:lineRule="auto"/>
              <w:jc w:val="center"/>
              <w:rPr>
                <w:rFonts w:hint="eastAsia" w:ascii="宋体" w:hAnsi="宋体" w:eastAsia="宋体" w:cs="宋体"/>
                <w:color w:val="auto"/>
                <w:highlight w:val="none"/>
              </w:rPr>
            </w:pPr>
            <w:r>
              <w:rPr>
                <w:rFonts w:hint="eastAsia" w:ascii="宋体" w:hAnsi="宋体" w:eastAsia="宋体" w:cs="宋体"/>
                <w:color w:val="auto"/>
                <w:szCs w:val="21"/>
                <w:highlight w:val="none"/>
              </w:rPr>
              <w:t>气态</w:t>
            </w:r>
          </w:p>
        </w:tc>
        <w:tc>
          <w:tcPr>
            <w:tcW w:w="875" w:type="dxa"/>
            <w:vAlign w:val="center"/>
          </w:tcPr>
          <w:p>
            <w:pPr>
              <w:spacing w:line="240" w:lineRule="auto"/>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848" w:type="dxa"/>
            <w:vAlign w:val="center"/>
          </w:tcPr>
          <w:p>
            <w:pPr>
              <w:spacing w:line="240" w:lineRule="auto"/>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855" w:type="dxa"/>
            <w:vAlign w:val="center"/>
          </w:tcPr>
          <w:p>
            <w:pPr>
              <w:spacing w:line="240" w:lineRule="auto"/>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825" w:type="dxa"/>
            <w:vAlign w:val="center"/>
          </w:tcPr>
          <w:p>
            <w:pPr>
              <w:spacing w:line="240" w:lineRule="auto"/>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915" w:type="dxa"/>
            <w:vAlign w:val="center"/>
          </w:tcPr>
          <w:p>
            <w:pPr>
              <w:spacing w:line="240" w:lineRule="auto"/>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440" w:type="dxa"/>
            <w:vAlign w:val="center"/>
          </w:tcPr>
          <w:p>
            <w:pPr>
              <w:spacing w:line="240" w:lineRule="auto"/>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285" w:type="dxa"/>
            <w:vAlign w:val="center"/>
          </w:tcPr>
          <w:p>
            <w:pPr>
              <w:spacing w:line="240" w:lineRule="auto"/>
              <w:jc w:val="center"/>
              <w:rPr>
                <w:rFonts w:hint="eastAsia" w:ascii="宋体" w:hAnsi="宋体" w:eastAsia="宋体" w:cs="宋体"/>
                <w:color w:val="auto"/>
                <w:highlight w:val="none"/>
              </w:rPr>
            </w:pPr>
            <w:r>
              <w:rPr>
                <w:rFonts w:hint="eastAsia" w:ascii="宋体" w:hAnsi="宋体" w:eastAsia="宋体" w:cs="宋体"/>
                <w:color w:val="auto"/>
                <w:szCs w:val="21"/>
                <w:highlight w:val="none"/>
              </w:rPr>
              <w:t>由排风口排入大气环境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jc w:val="center"/>
        </w:trPr>
        <w:tc>
          <w:tcPr>
            <w:tcW w:w="951" w:type="dxa"/>
            <w:vAlign w:val="center"/>
          </w:tcPr>
          <w:p>
            <w:pPr>
              <w:spacing w:line="240" w:lineRule="auto"/>
              <w:jc w:val="center"/>
              <w:rPr>
                <w:rFonts w:hint="eastAsia" w:ascii="宋体" w:hAnsi="宋体" w:eastAsia="宋体" w:cs="宋体"/>
                <w:color w:val="auto"/>
                <w:highlight w:val="none"/>
              </w:rPr>
            </w:pPr>
            <w:r>
              <w:rPr>
                <w:rFonts w:hint="eastAsia" w:ascii="宋体" w:hAnsi="宋体" w:eastAsia="宋体" w:cs="宋体"/>
                <w:color w:val="auto"/>
                <w:szCs w:val="21"/>
                <w:highlight w:val="none"/>
              </w:rPr>
              <w:t>加速器废靶</w:t>
            </w:r>
          </w:p>
        </w:tc>
        <w:tc>
          <w:tcPr>
            <w:tcW w:w="952" w:type="dxa"/>
            <w:vAlign w:val="center"/>
          </w:tcPr>
          <w:p>
            <w:pPr>
              <w:spacing w:line="240" w:lineRule="auto"/>
              <w:jc w:val="center"/>
              <w:rPr>
                <w:rFonts w:hint="eastAsia" w:ascii="宋体" w:hAnsi="宋体" w:eastAsia="宋体" w:cs="宋体"/>
                <w:color w:val="auto"/>
                <w:highlight w:val="none"/>
              </w:rPr>
            </w:pPr>
            <w:r>
              <w:rPr>
                <w:rFonts w:hint="eastAsia" w:ascii="宋体" w:hAnsi="宋体" w:eastAsia="宋体" w:cs="宋体"/>
                <w:color w:val="auto"/>
                <w:szCs w:val="21"/>
                <w:highlight w:val="none"/>
              </w:rPr>
              <w:t>固态</w:t>
            </w:r>
          </w:p>
        </w:tc>
        <w:tc>
          <w:tcPr>
            <w:tcW w:w="875" w:type="dxa"/>
            <w:vAlign w:val="center"/>
          </w:tcPr>
          <w:p>
            <w:pPr>
              <w:spacing w:line="240" w:lineRule="auto"/>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3443" w:type="dxa"/>
            <w:gridSpan w:val="4"/>
            <w:vAlign w:val="center"/>
          </w:tcPr>
          <w:p>
            <w:pPr>
              <w:spacing w:line="240" w:lineRule="auto"/>
              <w:jc w:val="center"/>
              <w:rPr>
                <w:rFonts w:hint="eastAsia" w:ascii="宋体" w:hAnsi="宋体" w:eastAsia="宋体" w:cs="宋体"/>
                <w:color w:val="auto"/>
                <w:highlight w:val="none"/>
              </w:rPr>
            </w:pPr>
            <w:r>
              <w:rPr>
                <w:rFonts w:hint="eastAsia" w:ascii="宋体" w:hAnsi="宋体" w:eastAsia="宋体" w:cs="宋体"/>
                <w:color w:val="auto"/>
                <w:szCs w:val="21"/>
                <w:highlight w:val="none"/>
              </w:rPr>
              <w:t>根据实际使用情况更换</w:t>
            </w:r>
          </w:p>
        </w:tc>
        <w:tc>
          <w:tcPr>
            <w:tcW w:w="1440" w:type="dxa"/>
            <w:vAlign w:val="center"/>
          </w:tcPr>
          <w:p>
            <w:pPr>
              <w:spacing w:line="240" w:lineRule="auto"/>
              <w:jc w:val="center"/>
              <w:rPr>
                <w:rFonts w:hint="eastAsia" w:ascii="宋体" w:hAnsi="宋体" w:eastAsia="宋体" w:cs="宋体"/>
                <w:color w:val="auto"/>
                <w:highlight w:val="none"/>
              </w:rPr>
            </w:pPr>
            <w:r>
              <w:rPr>
                <w:rFonts w:hint="eastAsia" w:ascii="宋体" w:hAnsi="宋体" w:eastAsia="宋体" w:cs="宋体"/>
                <w:color w:val="auto"/>
                <w:szCs w:val="21"/>
                <w:highlight w:val="none"/>
              </w:rPr>
              <w:t>/</w:t>
            </w:r>
          </w:p>
        </w:tc>
        <w:tc>
          <w:tcPr>
            <w:tcW w:w="1285" w:type="dxa"/>
            <w:vAlign w:val="center"/>
          </w:tcPr>
          <w:p>
            <w:pPr>
              <w:spacing w:line="240" w:lineRule="auto"/>
              <w:jc w:val="center"/>
              <w:rPr>
                <w:rFonts w:hint="eastAsia" w:ascii="宋体" w:hAnsi="宋体" w:eastAsia="宋体" w:cs="宋体"/>
                <w:color w:val="auto"/>
                <w:highlight w:val="none"/>
                <w:lang w:val="en-US" w:eastAsia="zh-CN"/>
              </w:rPr>
            </w:pPr>
            <w:r>
              <w:rPr>
                <w:rFonts w:hint="eastAsia" w:ascii="宋体" w:hAnsi="宋体" w:eastAsia="宋体" w:cs="宋体"/>
                <w:color w:val="auto"/>
                <w:szCs w:val="21"/>
                <w:highlight w:val="none"/>
                <w:lang w:val="en-US" w:eastAsia="zh-CN"/>
              </w:rPr>
              <w:t>送</w:t>
            </w:r>
            <w:r>
              <w:rPr>
                <w:rFonts w:hint="eastAsia" w:ascii="宋体" w:hAnsi="宋体" w:eastAsia="宋体" w:cs="宋体"/>
                <w:color w:val="auto"/>
                <w:szCs w:val="21"/>
                <w:highlight w:val="none"/>
              </w:rPr>
              <w:t>黑龙江省城市放射性废物贮存库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jc w:val="center"/>
        </w:trPr>
        <w:tc>
          <w:tcPr>
            <w:tcW w:w="951" w:type="dxa"/>
            <w:vAlign w:val="center"/>
          </w:tcPr>
          <w:p>
            <w:pPr>
              <w:spacing w:line="240" w:lineRule="auto"/>
              <w:jc w:val="center"/>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医疗废物</w:t>
            </w:r>
          </w:p>
        </w:tc>
        <w:tc>
          <w:tcPr>
            <w:tcW w:w="952" w:type="dxa"/>
            <w:vAlign w:val="center"/>
          </w:tcPr>
          <w:p>
            <w:pPr>
              <w:spacing w:line="240" w:lineRule="auto"/>
              <w:jc w:val="center"/>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固态</w:t>
            </w:r>
          </w:p>
        </w:tc>
        <w:tc>
          <w:tcPr>
            <w:tcW w:w="875" w:type="dxa"/>
            <w:vAlign w:val="center"/>
          </w:tcPr>
          <w:p>
            <w:pPr>
              <w:spacing w:line="240" w:lineRule="auto"/>
              <w:jc w:val="center"/>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rPr>
              <w:t>/</w:t>
            </w:r>
          </w:p>
        </w:tc>
        <w:tc>
          <w:tcPr>
            <w:tcW w:w="3443" w:type="dxa"/>
            <w:gridSpan w:val="4"/>
            <w:vAlign w:val="center"/>
          </w:tcPr>
          <w:p>
            <w:pPr>
              <w:spacing w:line="240" w:lineRule="auto"/>
              <w:jc w:val="center"/>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rPr>
              <w:t>/</w:t>
            </w:r>
          </w:p>
        </w:tc>
        <w:tc>
          <w:tcPr>
            <w:tcW w:w="1440" w:type="dxa"/>
            <w:vAlign w:val="center"/>
          </w:tcPr>
          <w:p>
            <w:pPr>
              <w:spacing w:line="24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eastAsia="zh-CN"/>
              </w:rPr>
              <w:t>暂存于医院现有医疗废物暂存间</w:t>
            </w:r>
          </w:p>
        </w:tc>
        <w:tc>
          <w:tcPr>
            <w:tcW w:w="1285" w:type="dxa"/>
            <w:vAlign w:val="center"/>
          </w:tcPr>
          <w:p>
            <w:pPr>
              <w:spacing w:line="240" w:lineRule="auto"/>
              <w:jc w:val="center"/>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交由有资质部门处置</w:t>
            </w:r>
          </w:p>
        </w:tc>
      </w:tr>
    </w:tbl>
    <w:p>
      <w:pPr>
        <w:rPr>
          <w:rFonts w:hint="eastAsia" w:ascii="宋体" w:hAnsi="宋体" w:eastAsia="宋体" w:cs="宋体"/>
          <w:color w:val="auto"/>
          <w:sz w:val="18"/>
          <w:szCs w:val="18"/>
          <w:highlight w:val="none"/>
        </w:rPr>
      </w:pPr>
      <w:r>
        <w:rPr>
          <w:rFonts w:hint="eastAsia" w:ascii="宋体" w:hAnsi="宋体" w:eastAsia="宋体" w:cs="宋体"/>
          <w:color w:val="auto"/>
          <w:sz w:val="18"/>
          <w:szCs w:val="18"/>
          <w:highlight w:val="none"/>
        </w:rPr>
        <w:t>注：1.常规废弃物排放浓度，对于液态单位为mg/L，固态为mg/</w:t>
      </w:r>
      <w:r>
        <w:rPr>
          <w:rFonts w:hint="eastAsia" w:ascii="宋体" w:hAnsi="宋体" w:eastAsia="宋体" w:cs="宋体"/>
          <w:color w:val="auto"/>
          <w:sz w:val="18"/>
          <w:szCs w:val="18"/>
          <w:highlight w:val="none"/>
          <w:lang w:val="en-US" w:eastAsia="zh-CN"/>
        </w:rPr>
        <w:t>kg</w:t>
      </w:r>
      <w:r>
        <w:rPr>
          <w:rFonts w:hint="eastAsia" w:ascii="宋体" w:hAnsi="宋体" w:eastAsia="宋体" w:cs="宋体"/>
          <w:color w:val="auto"/>
          <w:sz w:val="18"/>
          <w:szCs w:val="18"/>
          <w:highlight w:val="none"/>
        </w:rPr>
        <w:t>；</w:t>
      </w:r>
      <w:r>
        <w:rPr>
          <w:rFonts w:hint="eastAsia" w:ascii="宋体" w:hAnsi="宋体" w:eastAsia="宋体" w:cs="宋体"/>
          <w:color w:val="auto"/>
          <w:sz w:val="18"/>
          <w:szCs w:val="18"/>
          <w:highlight w:val="none"/>
          <w:lang w:val="en-US" w:eastAsia="zh-CN"/>
        </w:rPr>
        <w:t>气态为mg/m</w:t>
      </w:r>
      <w:r>
        <w:rPr>
          <w:rFonts w:hint="eastAsia" w:ascii="宋体" w:hAnsi="宋体" w:eastAsia="宋体" w:cs="宋体"/>
          <w:color w:val="auto"/>
          <w:sz w:val="18"/>
          <w:szCs w:val="18"/>
          <w:highlight w:val="none"/>
          <w:vertAlign w:val="superscript"/>
          <w:lang w:val="en-US" w:eastAsia="zh-CN"/>
        </w:rPr>
        <w:t>3</w:t>
      </w:r>
      <w:r>
        <w:rPr>
          <w:rFonts w:hint="eastAsia" w:ascii="宋体" w:hAnsi="宋体" w:eastAsia="宋体" w:cs="宋体"/>
          <w:color w:val="auto"/>
          <w:sz w:val="18"/>
          <w:szCs w:val="18"/>
          <w:highlight w:val="none"/>
        </w:rPr>
        <w:t>；年排放总量用kg。</w:t>
      </w:r>
    </w:p>
    <w:p>
      <w:pPr>
        <w:ind w:firstLine="420"/>
        <w:rPr>
          <w:rFonts w:hint="eastAsia" w:ascii="宋体" w:hAnsi="宋体" w:eastAsia="宋体" w:cs="宋体"/>
          <w:color w:val="auto"/>
          <w:sz w:val="18"/>
          <w:szCs w:val="18"/>
          <w:highlight w:val="none"/>
        </w:rPr>
        <w:sectPr>
          <w:pgSz w:w="11906" w:h="16838"/>
          <w:pgMar w:top="1440" w:right="1588" w:bottom="1440" w:left="1588"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ascii="宋体" w:hAnsi="宋体" w:eastAsia="宋体" w:cs="宋体"/>
          <w:color w:val="auto"/>
          <w:sz w:val="18"/>
          <w:szCs w:val="18"/>
          <w:highlight w:val="none"/>
        </w:rPr>
        <w:t>2.含有放射性的废物要注明，其排放浓度、年排放总量分别用比活度（Bq/L或Bq/kg或Bq/ m</w:t>
      </w:r>
      <w:r>
        <w:rPr>
          <w:rFonts w:hint="eastAsia" w:ascii="宋体" w:hAnsi="宋体" w:eastAsia="宋体" w:cs="宋体"/>
          <w:color w:val="auto"/>
          <w:sz w:val="18"/>
          <w:szCs w:val="18"/>
          <w:highlight w:val="none"/>
          <w:vertAlign w:val="superscript"/>
        </w:rPr>
        <w:t>3</w:t>
      </w:r>
      <w:r>
        <w:rPr>
          <w:rFonts w:hint="eastAsia" w:ascii="宋体" w:hAnsi="宋体" w:eastAsia="宋体" w:cs="宋体"/>
          <w:color w:val="auto"/>
          <w:sz w:val="18"/>
          <w:szCs w:val="18"/>
          <w:highlight w:val="none"/>
        </w:rPr>
        <w:t>）和活度（Bq）。</w:t>
      </w:r>
    </w:p>
    <w:p>
      <w:pPr>
        <w:spacing w:line="360" w:lineRule="auto"/>
        <w:outlineLvl w:val="0"/>
        <w:rPr>
          <w:rFonts w:hint="eastAsia" w:ascii="宋体" w:hAnsi="宋体" w:eastAsia="宋体" w:cs="宋体"/>
          <w:b/>
          <w:color w:val="auto"/>
          <w:sz w:val="28"/>
          <w:szCs w:val="28"/>
          <w:highlight w:val="none"/>
        </w:rPr>
      </w:pPr>
      <w:bookmarkStart w:id="5" w:name="_Toc27253"/>
      <w:r>
        <w:rPr>
          <w:rFonts w:hint="eastAsia" w:ascii="宋体" w:hAnsi="宋体" w:eastAsia="宋体" w:cs="宋体"/>
          <w:b/>
          <w:color w:val="auto"/>
          <w:sz w:val="28"/>
          <w:szCs w:val="28"/>
          <w:highlight w:val="none"/>
        </w:rPr>
        <w:t>表6 评价依据</w:t>
      </w:r>
      <w:bookmarkEnd w:id="5"/>
    </w:p>
    <w:tbl>
      <w:tblPr>
        <w:tblStyle w:val="1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82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30" w:hRule="atLeast"/>
          <w:jc w:val="center"/>
        </w:trPr>
        <w:tc>
          <w:tcPr>
            <w:tcW w:w="675"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highlight w:val="none"/>
              </w:rPr>
              <w:t>法规</w:t>
            </w:r>
          </w:p>
          <w:p>
            <w:pPr>
              <w:jc w:val="center"/>
              <w:rPr>
                <w:rFonts w:hint="eastAsia" w:ascii="宋体" w:hAnsi="宋体" w:eastAsia="宋体" w:cs="宋体"/>
                <w:color w:val="0000FF"/>
                <w:highlight w:val="none"/>
              </w:rPr>
            </w:pPr>
            <w:r>
              <w:rPr>
                <w:rFonts w:hint="eastAsia" w:ascii="宋体" w:hAnsi="宋体" w:eastAsia="宋体" w:cs="宋体"/>
                <w:color w:val="auto"/>
                <w:highlight w:val="none"/>
              </w:rPr>
              <w:t>文件</w:t>
            </w:r>
          </w:p>
        </w:tc>
        <w:tc>
          <w:tcPr>
            <w:tcW w:w="7847" w:type="dxa"/>
            <w:vAlign w:val="center"/>
          </w:tcPr>
          <w:p>
            <w:pPr>
              <w:spacing w:line="360" w:lineRule="auto"/>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（1）《中华人民共和国环境保护法》（2015年1月1日）；</w:t>
            </w:r>
          </w:p>
          <w:p>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（2）《中华人民共和国环境影响评价法》(2018年12月29日)；</w:t>
            </w:r>
          </w:p>
          <w:p>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（3）《中华人民共和国放射性污染防治法》（2003年10月1日）；</w:t>
            </w:r>
          </w:p>
          <w:p>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（4）《建设项目环境保护管理条例》国务院第682号令﹙2017年10月1日修订）；</w:t>
            </w:r>
          </w:p>
          <w:p>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（5）《放射性同位素与射线装置安全和防护条例》国务院第449号令﹙2005年12月1日施行，201</w:t>
            </w:r>
            <w:r>
              <w:rPr>
                <w:rFonts w:hint="eastAsia" w:ascii="宋体" w:hAnsi="宋体" w:eastAsia="宋体" w:cs="宋体"/>
                <w:color w:val="auto"/>
                <w:sz w:val="24"/>
                <w:szCs w:val="24"/>
                <w:highlight w:val="none"/>
                <w:lang w:val="en-US" w:eastAsia="zh-CN"/>
              </w:rPr>
              <w:t>9</w:t>
            </w:r>
            <w:r>
              <w:rPr>
                <w:rFonts w:hint="eastAsia" w:ascii="宋体" w:hAnsi="宋体" w:eastAsia="宋体" w:cs="宋体"/>
                <w:color w:val="auto"/>
                <w:sz w:val="24"/>
                <w:szCs w:val="24"/>
                <w:highlight w:val="none"/>
              </w:rPr>
              <w:t>年</w:t>
            </w:r>
            <w:r>
              <w:rPr>
                <w:rFonts w:hint="eastAsia" w:ascii="宋体" w:hAnsi="宋体" w:eastAsia="宋体" w:cs="宋体"/>
                <w:color w:val="auto"/>
                <w:sz w:val="24"/>
                <w:szCs w:val="24"/>
                <w:highlight w:val="none"/>
                <w:lang w:val="en-US" w:eastAsia="zh-CN"/>
              </w:rPr>
              <w:t>3</w:t>
            </w:r>
            <w:r>
              <w:rPr>
                <w:rFonts w:hint="eastAsia" w:ascii="宋体" w:hAnsi="宋体" w:eastAsia="宋体" w:cs="宋体"/>
                <w:color w:val="auto"/>
                <w:sz w:val="24"/>
                <w:szCs w:val="24"/>
                <w:highlight w:val="none"/>
              </w:rPr>
              <w:t>月</w:t>
            </w:r>
            <w:r>
              <w:rPr>
                <w:rFonts w:hint="eastAsia" w:ascii="宋体" w:hAnsi="宋体" w:eastAsia="宋体" w:cs="宋体"/>
                <w:color w:val="auto"/>
                <w:sz w:val="24"/>
                <w:szCs w:val="24"/>
                <w:highlight w:val="none"/>
                <w:lang w:val="en-US" w:eastAsia="zh-CN"/>
              </w:rPr>
              <w:t>2</w:t>
            </w:r>
            <w:r>
              <w:rPr>
                <w:rFonts w:hint="eastAsia" w:ascii="宋体" w:hAnsi="宋体" w:eastAsia="宋体" w:cs="宋体"/>
                <w:color w:val="auto"/>
                <w:sz w:val="24"/>
                <w:szCs w:val="24"/>
                <w:highlight w:val="none"/>
              </w:rPr>
              <w:t>日修订﹚；</w:t>
            </w:r>
          </w:p>
          <w:p>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（6）《放射性同位素与射线装置安全许可管理办法》（原国家环境保护总局令第31号公布，</w:t>
            </w:r>
            <w:r>
              <w:rPr>
                <w:rFonts w:hint="eastAsia" w:ascii="宋体" w:hAnsi="宋体" w:eastAsia="宋体" w:cs="宋体"/>
                <w:color w:val="auto"/>
                <w:sz w:val="24"/>
                <w:szCs w:val="24"/>
                <w:highlight w:val="none"/>
                <w:lang w:val="en-US" w:eastAsia="zh-CN"/>
              </w:rPr>
              <w:t>2021</w:t>
            </w:r>
            <w:r>
              <w:rPr>
                <w:rFonts w:hint="eastAsia" w:ascii="宋体" w:hAnsi="宋体" w:eastAsia="宋体" w:cs="宋体"/>
                <w:color w:val="auto"/>
                <w:sz w:val="24"/>
                <w:szCs w:val="24"/>
                <w:highlight w:val="none"/>
              </w:rPr>
              <w:t>年</w:t>
            </w: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rPr>
              <w:t>月</w:t>
            </w:r>
            <w:r>
              <w:rPr>
                <w:rFonts w:hint="eastAsia" w:ascii="宋体" w:hAnsi="宋体" w:eastAsia="宋体" w:cs="宋体"/>
                <w:color w:val="auto"/>
                <w:sz w:val="24"/>
                <w:szCs w:val="24"/>
                <w:highlight w:val="none"/>
                <w:lang w:val="en-US" w:eastAsia="zh-CN"/>
              </w:rPr>
              <w:t>4</w:t>
            </w:r>
            <w:r>
              <w:rPr>
                <w:rFonts w:hint="eastAsia" w:ascii="宋体" w:hAnsi="宋体" w:eastAsia="宋体" w:cs="宋体"/>
                <w:color w:val="auto"/>
                <w:sz w:val="24"/>
                <w:szCs w:val="24"/>
                <w:highlight w:val="none"/>
              </w:rPr>
              <w:t>日修</w:t>
            </w:r>
            <w:r>
              <w:rPr>
                <w:rFonts w:hint="eastAsia" w:ascii="宋体" w:hAnsi="宋体" w:eastAsia="宋体" w:cs="宋体"/>
                <w:color w:val="auto"/>
                <w:sz w:val="24"/>
                <w:szCs w:val="24"/>
                <w:highlight w:val="none"/>
                <w:lang w:val="en-US" w:eastAsia="zh-CN"/>
              </w:rPr>
              <w:t>改</w:t>
            </w:r>
            <w:r>
              <w:rPr>
                <w:rFonts w:hint="eastAsia" w:ascii="宋体" w:hAnsi="宋体" w:eastAsia="宋体" w:cs="宋体"/>
                <w:color w:val="auto"/>
                <w:sz w:val="24"/>
                <w:szCs w:val="24"/>
                <w:highlight w:val="none"/>
              </w:rPr>
              <w:t>）；</w:t>
            </w:r>
          </w:p>
          <w:p>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（7）《放射性同位素与射线装置安全和防护管理办法》环境保护部第18号令﹙2011年5月1日﹚；</w:t>
            </w:r>
          </w:p>
          <w:p>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（8）《射线装置分类》环境保护部、国家卫生和计划生育委员会2017年第66号，2017年12月5日；</w:t>
            </w:r>
          </w:p>
          <w:p>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（9）《建设项目环境影响评价分类管理名录》生态环境部令第16号（2021年1月1日施行）；</w:t>
            </w:r>
          </w:p>
          <w:p>
            <w:pPr>
              <w:spacing w:line="360" w:lineRule="auto"/>
              <w:ind w:firstLine="480" w:firstLineChars="200"/>
              <w:rPr>
                <w:rFonts w:hint="eastAsia" w:ascii="宋体" w:hAnsi="宋体" w:eastAsia="宋体" w:cs="宋体"/>
                <w:color w:val="0000FF"/>
                <w:sz w:val="24"/>
                <w:highlight w:val="none"/>
                <w:lang w:eastAsia="zh-CN"/>
              </w:rPr>
            </w:pPr>
            <w:r>
              <w:rPr>
                <w:rFonts w:hint="eastAsia" w:ascii="宋体" w:hAnsi="宋体" w:eastAsia="宋体" w:cs="宋体"/>
                <w:color w:val="auto"/>
                <w:sz w:val="24"/>
                <w:szCs w:val="24"/>
                <w:highlight w:val="none"/>
              </w:rPr>
              <w:t>（10）《黑龙江省辐射污染防治条例》黑龙江省第十一届人民代表大会常务委员会公告第43号(2018年4月26日修正)</w:t>
            </w:r>
            <w:r>
              <w:rPr>
                <w:rFonts w:hint="eastAsia" w:ascii="宋体" w:hAnsi="宋体" w:eastAsia="宋体" w:cs="宋体"/>
                <w:color w:val="auto"/>
                <w:sz w:val="24"/>
                <w:szCs w:val="24"/>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2" w:hRule="atLeast"/>
          <w:jc w:val="center"/>
        </w:trPr>
        <w:tc>
          <w:tcPr>
            <w:tcW w:w="675" w:type="dxa"/>
            <w:vAlign w:val="center"/>
          </w:tcPr>
          <w:p>
            <w:pPr>
              <w:jc w:val="center"/>
              <w:rPr>
                <w:rFonts w:hint="eastAsia" w:ascii="宋体" w:hAnsi="宋体" w:eastAsia="宋体" w:cs="宋体"/>
                <w:color w:val="auto"/>
                <w:highlight w:val="none"/>
              </w:rPr>
            </w:pPr>
            <w:r>
              <w:rPr>
                <w:rFonts w:hint="eastAsia" w:ascii="宋体" w:hAnsi="宋体" w:eastAsia="宋体" w:cs="宋体"/>
                <w:color w:val="auto"/>
                <w:highlight w:val="none"/>
              </w:rPr>
              <w:t>技术</w:t>
            </w:r>
          </w:p>
          <w:p>
            <w:pPr>
              <w:jc w:val="center"/>
              <w:rPr>
                <w:rFonts w:hint="eastAsia" w:ascii="宋体" w:hAnsi="宋体" w:eastAsia="宋体" w:cs="宋体"/>
                <w:color w:val="0000FF"/>
                <w:highlight w:val="none"/>
              </w:rPr>
            </w:pPr>
            <w:r>
              <w:rPr>
                <w:rFonts w:hint="eastAsia" w:ascii="宋体" w:hAnsi="宋体" w:eastAsia="宋体" w:cs="宋体"/>
                <w:color w:val="auto"/>
                <w:highlight w:val="none"/>
              </w:rPr>
              <w:t>标准</w:t>
            </w:r>
          </w:p>
        </w:tc>
        <w:tc>
          <w:tcPr>
            <w:tcW w:w="7847" w:type="dxa"/>
            <w:vAlign w:val="center"/>
          </w:tcPr>
          <w:p>
            <w:pPr>
              <w:spacing w:line="360" w:lineRule="auto"/>
              <w:ind w:left="0"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（1）《辐射环境管理导则核技术利用建设项目环境影响评价文件的</w:t>
            </w:r>
          </w:p>
          <w:p>
            <w:pPr>
              <w:spacing w:line="360" w:lineRule="auto"/>
              <w:ind w:left="0" w:firstLine="0" w:firstLineChars="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内容和格式》（HJ 10.1－2016）；</w:t>
            </w:r>
          </w:p>
          <w:p>
            <w:pPr>
              <w:spacing w:line="360" w:lineRule="auto"/>
              <w:ind w:left="0" w:firstLine="544" w:firstLineChars="200"/>
              <w:rPr>
                <w:rFonts w:hint="eastAsia" w:ascii="宋体" w:hAnsi="宋体" w:eastAsia="宋体" w:cs="宋体"/>
                <w:color w:val="auto"/>
                <w:spacing w:val="16"/>
                <w:sz w:val="24"/>
                <w:szCs w:val="24"/>
                <w:highlight w:val="none"/>
              </w:rPr>
            </w:pPr>
            <w:r>
              <w:rPr>
                <w:rFonts w:hint="eastAsia" w:ascii="宋体" w:hAnsi="宋体" w:eastAsia="宋体" w:cs="宋体"/>
                <w:color w:val="auto"/>
                <w:spacing w:val="16"/>
                <w:sz w:val="24"/>
                <w:szCs w:val="24"/>
                <w:highlight w:val="none"/>
              </w:rPr>
              <w:t>（2）《辐射环境监测技术规范》（HJ61-20</w:t>
            </w:r>
            <w:r>
              <w:rPr>
                <w:rFonts w:hint="eastAsia" w:ascii="宋体" w:hAnsi="宋体" w:eastAsia="宋体" w:cs="宋体"/>
                <w:color w:val="auto"/>
                <w:spacing w:val="16"/>
                <w:sz w:val="24"/>
                <w:szCs w:val="24"/>
                <w:highlight w:val="none"/>
                <w:lang w:val="en-US" w:eastAsia="zh-CN"/>
              </w:rPr>
              <w:t>21</w:t>
            </w:r>
            <w:r>
              <w:rPr>
                <w:rFonts w:hint="eastAsia" w:ascii="宋体" w:hAnsi="宋体" w:eastAsia="宋体" w:cs="宋体"/>
                <w:color w:val="auto"/>
                <w:spacing w:val="16"/>
                <w:sz w:val="24"/>
                <w:szCs w:val="24"/>
                <w:highlight w:val="none"/>
              </w:rPr>
              <w:t>）；</w:t>
            </w:r>
          </w:p>
          <w:p>
            <w:pPr>
              <w:spacing w:line="360" w:lineRule="auto"/>
              <w:ind w:left="0" w:firstLine="544" w:firstLineChars="200"/>
              <w:rPr>
                <w:rFonts w:hint="eastAsia" w:ascii="宋体" w:hAnsi="宋体" w:eastAsia="宋体" w:cs="宋体"/>
                <w:color w:val="auto"/>
                <w:spacing w:val="16"/>
                <w:sz w:val="24"/>
                <w:szCs w:val="24"/>
                <w:highlight w:val="none"/>
              </w:rPr>
            </w:pPr>
            <w:r>
              <w:rPr>
                <w:rFonts w:hint="eastAsia" w:ascii="宋体" w:hAnsi="宋体" w:eastAsia="宋体" w:cs="宋体"/>
                <w:color w:val="auto"/>
                <w:spacing w:val="16"/>
                <w:sz w:val="24"/>
                <w:szCs w:val="24"/>
                <w:highlight w:val="none"/>
              </w:rPr>
              <w:t>（3）</w:t>
            </w:r>
            <w:r>
              <w:rPr>
                <w:rFonts w:hint="eastAsia" w:ascii="宋体" w:hAnsi="宋体" w:eastAsia="宋体" w:cs="宋体"/>
                <w:color w:val="auto"/>
                <w:sz w:val="24"/>
                <w:szCs w:val="24"/>
                <w:highlight w:val="none"/>
              </w:rPr>
              <w:t>《电离辐射防护与辐射源安全基本标准》（GB18871-2002）；</w:t>
            </w:r>
          </w:p>
          <w:p>
            <w:pPr>
              <w:spacing w:line="360" w:lineRule="auto"/>
              <w:ind w:left="0" w:firstLine="544" w:firstLineChars="200"/>
              <w:rPr>
                <w:rFonts w:hint="eastAsia" w:ascii="宋体" w:hAnsi="宋体" w:eastAsia="宋体" w:cs="宋体"/>
                <w:color w:val="auto"/>
                <w:spacing w:val="16"/>
                <w:sz w:val="24"/>
                <w:szCs w:val="24"/>
                <w:highlight w:val="none"/>
              </w:rPr>
            </w:pPr>
            <w:r>
              <w:rPr>
                <w:rFonts w:hint="eastAsia" w:ascii="宋体" w:hAnsi="宋体" w:eastAsia="宋体" w:cs="宋体"/>
                <w:color w:val="auto"/>
                <w:spacing w:val="16"/>
                <w:sz w:val="24"/>
                <w:szCs w:val="24"/>
                <w:highlight w:val="none"/>
              </w:rPr>
              <w:t>（4）</w:t>
            </w:r>
            <w:r>
              <w:rPr>
                <w:rFonts w:hint="eastAsia" w:ascii="宋体" w:hAnsi="宋体" w:eastAsia="宋体" w:cs="宋体"/>
                <w:color w:val="auto"/>
                <w:sz w:val="24"/>
                <w:szCs w:val="24"/>
                <w:highlight w:val="none"/>
              </w:rPr>
              <w:t>《环境γ辐射剂量率测量技术规范》（HJ1157-2021）</w:t>
            </w:r>
            <w:r>
              <w:rPr>
                <w:rFonts w:hint="eastAsia" w:ascii="宋体" w:hAnsi="宋体" w:eastAsia="宋体" w:cs="宋体"/>
                <w:color w:val="auto"/>
                <w:spacing w:val="16"/>
                <w:sz w:val="24"/>
                <w:szCs w:val="24"/>
                <w:highlight w:val="none"/>
              </w:rPr>
              <w:t>；</w:t>
            </w:r>
          </w:p>
          <w:p>
            <w:pPr>
              <w:spacing w:line="360" w:lineRule="auto"/>
              <w:ind w:left="0" w:firstLine="544" w:firstLineChars="200"/>
              <w:rPr>
                <w:rFonts w:hint="eastAsia" w:ascii="宋体" w:hAnsi="宋体" w:eastAsia="宋体" w:cs="宋体"/>
                <w:color w:val="auto"/>
                <w:spacing w:val="16"/>
                <w:sz w:val="24"/>
                <w:szCs w:val="24"/>
                <w:highlight w:val="none"/>
              </w:rPr>
            </w:pPr>
            <w:r>
              <w:rPr>
                <w:rFonts w:hint="eastAsia" w:ascii="宋体" w:hAnsi="宋体" w:eastAsia="宋体" w:cs="宋体"/>
                <w:color w:val="auto"/>
                <w:spacing w:val="16"/>
                <w:sz w:val="24"/>
                <w:szCs w:val="24"/>
                <w:highlight w:val="none"/>
              </w:rPr>
              <w:t>（5）《放射治疗机房的辐射屏蔽规范第1部分</w:t>
            </w:r>
            <w:r>
              <w:rPr>
                <w:rFonts w:hint="eastAsia" w:ascii="宋体" w:hAnsi="宋体" w:cs="宋体"/>
                <w:color w:val="auto"/>
                <w:spacing w:val="16"/>
                <w:sz w:val="24"/>
                <w:szCs w:val="24"/>
                <w:highlight w:val="none"/>
                <w:lang w:eastAsia="zh-CN"/>
              </w:rPr>
              <w:t>：</w:t>
            </w:r>
            <w:r>
              <w:rPr>
                <w:rFonts w:hint="eastAsia" w:ascii="宋体" w:hAnsi="宋体" w:eastAsia="宋体" w:cs="宋体"/>
                <w:color w:val="auto"/>
                <w:spacing w:val="16"/>
                <w:sz w:val="24"/>
                <w:szCs w:val="24"/>
                <w:highlight w:val="none"/>
              </w:rPr>
              <w:t>一般原则》(GBZ/T201.1-2007)；</w:t>
            </w:r>
          </w:p>
          <w:p>
            <w:pPr>
              <w:spacing w:line="360" w:lineRule="auto"/>
              <w:ind w:left="0" w:firstLine="544" w:firstLineChars="200"/>
              <w:rPr>
                <w:rFonts w:hint="eastAsia" w:ascii="宋体" w:hAnsi="宋体" w:eastAsia="宋体" w:cs="宋体"/>
                <w:color w:val="auto"/>
                <w:sz w:val="24"/>
                <w:szCs w:val="24"/>
                <w:highlight w:val="none"/>
              </w:rPr>
            </w:pPr>
            <w:r>
              <w:rPr>
                <w:rFonts w:hint="eastAsia" w:ascii="宋体" w:hAnsi="宋体" w:eastAsia="宋体" w:cs="宋体"/>
                <w:color w:val="auto"/>
                <w:spacing w:val="16"/>
                <w:sz w:val="24"/>
                <w:szCs w:val="24"/>
                <w:highlight w:val="none"/>
              </w:rPr>
              <w:t>（6）</w:t>
            </w:r>
            <w:r>
              <w:rPr>
                <w:rFonts w:hint="eastAsia" w:ascii="宋体" w:hAnsi="宋体" w:eastAsia="宋体" w:cs="宋体"/>
                <w:color w:val="auto"/>
                <w:sz w:val="24"/>
                <w:szCs w:val="24"/>
                <w:highlight w:val="none"/>
              </w:rPr>
              <w:t>《放射治疗机房辐射屏蔽规范第2部分：电子直线加速器放射治疗机房》(GBZ</w:t>
            </w:r>
            <w:r>
              <w:rPr>
                <w:rFonts w:hint="eastAsia" w:ascii="宋体" w:hAnsi="宋体" w:cs="宋体"/>
                <w:color w:val="auto"/>
                <w:sz w:val="24"/>
                <w:szCs w:val="24"/>
                <w:highlight w:val="none"/>
                <w:lang w:val="en-US" w:eastAsia="zh-CN"/>
              </w:rPr>
              <w:t>/</w:t>
            </w:r>
            <w:r>
              <w:rPr>
                <w:rFonts w:hint="eastAsia" w:ascii="宋体" w:hAnsi="宋体" w:eastAsia="宋体" w:cs="宋体"/>
                <w:color w:val="auto"/>
                <w:sz w:val="24"/>
                <w:szCs w:val="24"/>
                <w:highlight w:val="none"/>
              </w:rPr>
              <w:t>T201.2-2011)；</w:t>
            </w:r>
          </w:p>
          <w:p>
            <w:pPr>
              <w:spacing w:line="360" w:lineRule="auto"/>
              <w:ind w:left="0" w:firstLine="480" w:firstLineChars="200"/>
              <w:rPr>
                <w:rFonts w:hint="eastAsia" w:ascii="宋体" w:hAnsi="宋体" w:eastAsia="宋体" w:cs="宋体"/>
                <w:color w:val="auto"/>
                <w:spacing w:val="16"/>
                <w:sz w:val="24"/>
                <w:szCs w:val="24"/>
                <w:highlight w:val="none"/>
              </w:rPr>
            </w:pPr>
            <w:r>
              <w:rPr>
                <w:rFonts w:hint="eastAsia" w:ascii="宋体" w:hAnsi="宋体" w:eastAsia="宋体" w:cs="宋体"/>
                <w:color w:val="auto"/>
                <w:sz w:val="24"/>
                <w:szCs w:val="24"/>
                <w:highlight w:val="none"/>
              </w:rPr>
              <w:t>（7）</w:t>
            </w:r>
            <w:r>
              <w:rPr>
                <w:rFonts w:hint="eastAsia" w:ascii="宋体" w:hAnsi="宋体" w:eastAsia="宋体" w:cs="宋体"/>
                <w:color w:val="auto"/>
                <w:sz w:val="24"/>
                <w:szCs w:val="24"/>
                <w:highlight w:val="none"/>
                <w:lang w:eastAsia="zh-CN"/>
              </w:rPr>
              <w:t>《放射治疗放射防护要求》（GBZ121-2020）</w:t>
            </w:r>
            <w:r>
              <w:rPr>
                <w:rFonts w:hint="eastAsia" w:ascii="宋体" w:hAnsi="宋体" w:eastAsia="宋体" w:cs="宋体"/>
                <w:color w:val="auto"/>
                <w:sz w:val="24"/>
                <w:szCs w:val="24"/>
                <w:highlight w:val="none"/>
              </w:rPr>
              <w:t>；</w:t>
            </w:r>
          </w:p>
          <w:p>
            <w:pPr>
              <w:spacing w:line="360" w:lineRule="auto"/>
              <w:ind w:left="0"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（8）《</w:t>
            </w:r>
            <w:r>
              <w:rPr>
                <w:rFonts w:hint="eastAsia" w:ascii="宋体" w:hAnsi="宋体" w:eastAsia="宋体" w:cs="宋体"/>
                <w:color w:val="auto"/>
                <w:spacing w:val="16"/>
                <w:sz w:val="24"/>
                <w:szCs w:val="24"/>
                <w:highlight w:val="none"/>
              </w:rPr>
              <w:t>职业性外照射个人监测规范》（GBZ128-201</w:t>
            </w:r>
            <w:r>
              <w:rPr>
                <w:rFonts w:hint="eastAsia" w:ascii="宋体" w:hAnsi="宋体" w:eastAsia="宋体" w:cs="宋体"/>
                <w:color w:val="auto"/>
                <w:spacing w:val="16"/>
                <w:sz w:val="24"/>
                <w:szCs w:val="24"/>
                <w:highlight w:val="none"/>
                <w:lang w:val="en-US" w:eastAsia="zh-CN"/>
              </w:rPr>
              <w:t>9</w:t>
            </w:r>
            <w:r>
              <w:rPr>
                <w:rFonts w:hint="eastAsia" w:ascii="宋体" w:hAnsi="宋体" w:eastAsia="宋体" w:cs="宋体"/>
                <w:color w:val="auto"/>
                <w:spacing w:val="16"/>
                <w:sz w:val="24"/>
                <w:szCs w:val="24"/>
                <w:highlight w:val="none"/>
              </w:rPr>
              <w:t>）</w:t>
            </w:r>
            <w:r>
              <w:rPr>
                <w:rFonts w:hint="eastAsia" w:ascii="宋体" w:hAnsi="宋体" w:eastAsia="宋体" w:cs="宋体"/>
                <w:color w:val="auto"/>
                <w:sz w:val="24"/>
                <w:szCs w:val="24"/>
                <w:highlight w:val="none"/>
              </w:rPr>
              <w:t>；</w:t>
            </w:r>
          </w:p>
          <w:p>
            <w:pPr>
              <w:pStyle w:val="25"/>
              <w:spacing w:line="360" w:lineRule="auto"/>
              <w:ind w:left="0"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（9）</w:t>
            </w:r>
            <w:r>
              <w:rPr>
                <w:rFonts w:hint="eastAsia" w:ascii="宋体" w:hAnsi="宋体" w:eastAsia="宋体" w:cs="宋体"/>
                <w:bCs/>
                <w:color w:val="auto"/>
                <w:kern w:val="2"/>
                <w:sz w:val="24"/>
                <w:szCs w:val="24"/>
                <w:highlight w:val="none"/>
                <w:lang w:val="en-US" w:eastAsia="zh-CN" w:bidi="ar-SA"/>
              </w:rPr>
              <w:t>《工业企业厂界环境噪声排放标准》（GB12348-2008）中2类标准；</w:t>
            </w:r>
          </w:p>
          <w:p>
            <w:pPr>
              <w:spacing w:line="360" w:lineRule="auto"/>
              <w:ind w:left="0" w:firstLine="480" w:firstLineChars="200"/>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10</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《放射性废物管理规定》（GB14500-2002）</w:t>
            </w:r>
            <w:r>
              <w:rPr>
                <w:rFonts w:hint="eastAsia" w:ascii="宋体" w:hAnsi="宋体" w:eastAsia="宋体" w:cs="宋体"/>
                <w:color w:val="auto"/>
                <w:sz w:val="24"/>
                <w:szCs w:val="24"/>
                <w:highlight w:val="none"/>
                <w:lang w:eastAsia="zh-CN"/>
              </w:rPr>
              <w:t>；</w:t>
            </w:r>
          </w:p>
          <w:p>
            <w:pPr>
              <w:spacing w:line="360" w:lineRule="auto"/>
              <w:ind w:left="0" w:firstLine="480" w:firstLineChars="200"/>
              <w:rPr>
                <w:rFonts w:hint="eastAsia" w:ascii="宋体" w:hAnsi="宋体" w:eastAsia="宋体" w:cs="宋体"/>
                <w:color w:val="0000FF"/>
                <w:spacing w:val="16"/>
                <w:sz w:val="24"/>
                <w:highlight w:val="none"/>
                <w:lang w:val="en-US" w:eastAsia="zh-CN"/>
              </w:rPr>
            </w:pP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11）</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放射治疗辐射安全与防护要求</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HJ1198-2021</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46" w:hRule="atLeast"/>
          <w:jc w:val="center"/>
        </w:trPr>
        <w:tc>
          <w:tcPr>
            <w:tcW w:w="675" w:type="dxa"/>
            <w:vAlign w:val="center"/>
          </w:tcPr>
          <w:p>
            <w:pPr>
              <w:jc w:val="center"/>
              <w:rPr>
                <w:rFonts w:hint="eastAsia" w:ascii="宋体" w:hAnsi="宋体" w:eastAsia="宋体" w:cs="宋体"/>
                <w:color w:val="0000FF"/>
                <w:highlight w:val="none"/>
              </w:rPr>
            </w:pPr>
            <w:r>
              <w:rPr>
                <w:rFonts w:hint="eastAsia" w:ascii="宋体" w:hAnsi="宋体" w:eastAsia="宋体" w:cs="宋体"/>
                <w:color w:val="auto"/>
                <w:highlight w:val="none"/>
              </w:rPr>
              <w:t>其他</w:t>
            </w:r>
          </w:p>
        </w:tc>
        <w:tc>
          <w:tcPr>
            <w:tcW w:w="7847" w:type="dxa"/>
            <w:vAlign w:val="center"/>
          </w:tcPr>
          <w:p>
            <w:pPr>
              <w:spacing w:line="360" w:lineRule="auto"/>
              <w:ind w:firstLine="480" w:firstLineChars="200"/>
              <w:jc w:val="both"/>
              <w:rPr>
                <w:rFonts w:hint="eastAsia" w:ascii="宋体" w:hAnsi="宋体" w:eastAsia="宋体" w:cs="宋体"/>
                <w:color w:val="auto"/>
                <w:sz w:val="24"/>
                <w:highlight w:val="none"/>
              </w:rPr>
            </w:pPr>
            <w:r>
              <w:rPr>
                <w:rFonts w:hint="eastAsia" w:ascii="宋体" w:hAnsi="宋体" w:eastAsia="宋体" w:cs="宋体"/>
                <w:color w:val="auto"/>
                <w:sz w:val="24"/>
                <w:highlight w:val="none"/>
              </w:rPr>
              <w:t>（1）根据《黑龙江省环境天然贯穿辐射水平调查研究》</w:t>
            </w:r>
            <w:r>
              <w:rPr>
                <w:rFonts w:hint="eastAsia" w:ascii="宋体" w:hAnsi="宋体" w:eastAsia="宋体" w:cs="宋体"/>
                <w:color w:val="auto"/>
                <w:sz w:val="24"/>
                <w:highlight w:val="none"/>
                <w:lang w:eastAsia="zh-CN"/>
              </w:rPr>
              <w:t>（</w:t>
            </w:r>
            <w:r>
              <w:rPr>
                <w:rFonts w:hint="eastAsia" w:ascii="宋体" w:hAnsi="宋体" w:eastAsia="宋体" w:cs="宋体"/>
                <w:color w:val="auto"/>
                <w:spacing w:val="16"/>
                <w:sz w:val="24"/>
                <w:highlight w:val="none"/>
              </w:rPr>
              <w:t>黑龙江省环境监测中心站</w:t>
            </w:r>
            <w:r>
              <w:rPr>
                <w:rFonts w:hint="eastAsia" w:ascii="宋体" w:hAnsi="宋体" w:eastAsia="宋体" w:cs="宋体"/>
                <w:color w:val="auto"/>
                <w:spacing w:val="16"/>
                <w:sz w:val="24"/>
                <w:highlight w:val="none"/>
                <w:lang w:eastAsia="zh-CN"/>
              </w:rPr>
              <w:t>，</w:t>
            </w:r>
            <w:r>
              <w:rPr>
                <w:rFonts w:hint="eastAsia" w:ascii="宋体" w:hAnsi="宋体" w:eastAsia="宋体" w:cs="宋体"/>
                <w:color w:val="auto"/>
                <w:spacing w:val="16"/>
                <w:sz w:val="24"/>
                <w:highlight w:val="none"/>
              </w:rPr>
              <w:t>1989年5月）</w:t>
            </w:r>
            <w:r>
              <w:rPr>
                <w:rFonts w:hint="eastAsia" w:ascii="宋体" w:hAnsi="宋体" w:eastAsia="宋体" w:cs="宋体"/>
                <w:color w:val="auto"/>
                <w:sz w:val="24"/>
                <w:highlight w:val="none"/>
              </w:rPr>
              <w:t>报告，黑龙江省室内、外环境γ辐射空气吸收剂量率本底范围是：</w:t>
            </w:r>
          </w:p>
          <w:p>
            <w:pPr>
              <w:spacing w:line="360" w:lineRule="auto"/>
              <w:ind w:firstLine="480" w:firstLineChars="200"/>
              <w:jc w:val="both"/>
              <w:rPr>
                <w:rFonts w:hint="eastAsia" w:ascii="宋体" w:hAnsi="宋体" w:eastAsia="宋体" w:cs="宋体"/>
                <w:color w:val="auto"/>
                <w:sz w:val="24"/>
                <w:highlight w:val="none"/>
              </w:rPr>
            </w:pPr>
            <w:r>
              <w:rPr>
                <w:rFonts w:hint="eastAsia" w:ascii="宋体" w:hAnsi="宋体" w:eastAsia="宋体" w:cs="宋体"/>
                <w:color w:val="auto"/>
                <w:sz w:val="24"/>
                <w:highlight w:val="none"/>
              </w:rPr>
              <w:t>室内：54.8-163.0nGy</w:t>
            </w:r>
            <w:r>
              <w:rPr>
                <w:rFonts w:hint="eastAsia" w:ascii="宋体" w:hAnsi="宋体" w:eastAsia="宋体" w:cs="宋体"/>
                <w:color w:val="auto"/>
                <w:sz w:val="24"/>
                <w:highlight w:val="none"/>
              </w:rPr>
              <w:sym w:font="Symbol" w:char="F0D7"/>
            </w:r>
            <w:r>
              <w:rPr>
                <w:rFonts w:hint="eastAsia" w:ascii="宋体" w:hAnsi="宋体" w:eastAsia="宋体" w:cs="宋体"/>
                <w:color w:val="auto"/>
                <w:sz w:val="24"/>
                <w:highlight w:val="none"/>
              </w:rPr>
              <w:t>h</w:t>
            </w:r>
            <w:r>
              <w:rPr>
                <w:rFonts w:hint="eastAsia" w:ascii="宋体" w:hAnsi="宋体" w:eastAsia="宋体" w:cs="宋体"/>
                <w:color w:val="auto"/>
                <w:sz w:val="24"/>
                <w:highlight w:val="none"/>
                <w:vertAlign w:val="superscript"/>
              </w:rPr>
              <w:t>-1</w:t>
            </w:r>
            <w:r>
              <w:rPr>
                <w:rFonts w:hint="eastAsia" w:ascii="宋体" w:hAnsi="宋体" w:eastAsia="宋体" w:cs="宋体"/>
                <w:color w:val="auto"/>
                <w:sz w:val="24"/>
                <w:highlight w:val="none"/>
              </w:rPr>
              <w:t>，平均值113.8 nGy</w:t>
            </w:r>
            <w:r>
              <w:rPr>
                <w:rFonts w:hint="eastAsia" w:ascii="宋体" w:hAnsi="宋体" w:eastAsia="宋体" w:cs="宋体"/>
                <w:color w:val="auto"/>
                <w:sz w:val="24"/>
                <w:highlight w:val="none"/>
              </w:rPr>
              <w:sym w:font="Symbol" w:char="F0D7"/>
            </w:r>
            <w:r>
              <w:rPr>
                <w:rFonts w:hint="eastAsia" w:ascii="宋体" w:hAnsi="宋体" w:eastAsia="宋体" w:cs="宋体"/>
                <w:color w:val="auto"/>
                <w:sz w:val="24"/>
                <w:highlight w:val="none"/>
              </w:rPr>
              <w:t>h</w:t>
            </w:r>
            <w:r>
              <w:rPr>
                <w:rFonts w:hint="eastAsia" w:ascii="宋体" w:hAnsi="宋体" w:eastAsia="宋体" w:cs="宋体"/>
                <w:color w:val="auto"/>
                <w:sz w:val="24"/>
                <w:highlight w:val="none"/>
                <w:vertAlign w:val="superscript"/>
              </w:rPr>
              <w:t>-1</w:t>
            </w:r>
            <w:r>
              <w:rPr>
                <w:rFonts w:hint="eastAsia" w:ascii="宋体" w:hAnsi="宋体" w:eastAsia="宋体" w:cs="宋体"/>
                <w:color w:val="auto"/>
                <w:sz w:val="24"/>
                <w:highlight w:val="none"/>
              </w:rPr>
              <w:t>（未扣除室内宇宙射线响应值28.6 nGy</w:t>
            </w:r>
            <w:r>
              <w:rPr>
                <w:rFonts w:hint="eastAsia" w:ascii="宋体" w:hAnsi="宋体" w:eastAsia="宋体" w:cs="宋体"/>
                <w:color w:val="auto"/>
                <w:sz w:val="24"/>
                <w:highlight w:val="none"/>
              </w:rPr>
              <w:sym w:font="Symbol" w:char="F0D7"/>
            </w:r>
            <w:r>
              <w:rPr>
                <w:rFonts w:hint="eastAsia" w:ascii="宋体" w:hAnsi="宋体" w:eastAsia="宋体" w:cs="宋体"/>
                <w:color w:val="auto"/>
                <w:sz w:val="24"/>
                <w:highlight w:val="none"/>
              </w:rPr>
              <w:t>h</w:t>
            </w:r>
            <w:r>
              <w:rPr>
                <w:rFonts w:hint="eastAsia" w:ascii="宋体" w:hAnsi="宋体" w:eastAsia="宋体" w:cs="宋体"/>
                <w:color w:val="auto"/>
                <w:sz w:val="24"/>
                <w:highlight w:val="none"/>
                <w:vertAlign w:val="superscript"/>
              </w:rPr>
              <w:t>-1</w:t>
            </w:r>
            <w:r>
              <w:rPr>
                <w:rFonts w:hint="eastAsia" w:ascii="宋体" w:hAnsi="宋体" w:eastAsia="宋体" w:cs="宋体"/>
                <w:color w:val="auto"/>
                <w:sz w:val="24"/>
                <w:highlight w:val="none"/>
              </w:rPr>
              <w:t xml:space="preserve"> )；</w:t>
            </w:r>
          </w:p>
          <w:p>
            <w:pPr>
              <w:spacing w:line="360" w:lineRule="auto"/>
              <w:ind w:firstLine="480" w:firstLineChars="200"/>
              <w:jc w:val="both"/>
              <w:rPr>
                <w:rFonts w:hint="eastAsia" w:ascii="宋体" w:hAnsi="宋体" w:eastAsia="宋体" w:cs="宋体"/>
                <w:color w:val="auto"/>
                <w:spacing w:val="16"/>
                <w:sz w:val="24"/>
                <w:highlight w:val="none"/>
              </w:rPr>
            </w:pPr>
            <w:r>
              <w:rPr>
                <w:rFonts w:hint="eastAsia" w:ascii="宋体" w:hAnsi="宋体" w:eastAsia="宋体" w:cs="宋体"/>
                <w:color w:val="auto"/>
                <w:sz w:val="24"/>
                <w:highlight w:val="none"/>
              </w:rPr>
              <w:t>室外：54.0-229.3nGy</w:t>
            </w:r>
            <w:r>
              <w:rPr>
                <w:rFonts w:hint="eastAsia" w:ascii="宋体" w:hAnsi="宋体" w:eastAsia="宋体" w:cs="宋体"/>
                <w:color w:val="auto"/>
                <w:sz w:val="24"/>
                <w:highlight w:val="none"/>
              </w:rPr>
              <w:sym w:font="Symbol" w:char="F0D7"/>
            </w:r>
            <w:r>
              <w:rPr>
                <w:rFonts w:hint="eastAsia" w:ascii="宋体" w:hAnsi="宋体" w:eastAsia="宋体" w:cs="宋体"/>
                <w:color w:val="auto"/>
                <w:sz w:val="24"/>
                <w:highlight w:val="none"/>
              </w:rPr>
              <w:t>h</w:t>
            </w:r>
            <w:r>
              <w:rPr>
                <w:rFonts w:hint="eastAsia" w:ascii="宋体" w:hAnsi="宋体" w:eastAsia="宋体" w:cs="宋体"/>
                <w:color w:val="auto"/>
                <w:sz w:val="24"/>
                <w:highlight w:val="none"/>
                <w:vertAlign w:val="superscript"/>
              </w:rPr>
              <w:t>-1</w:t>
            </w:r>
            <w:r>
              <w:rPr>
                <w:rFonts w:hint="eastAsia" w:ascii="宋体" w:hAnsi="宋体" w:eastAsia="宋体" w:cs="宋体"/>
                <w:color w:val="auto"/>
                <w:sz w:val="24"/>
                <w:highlight w:val="none"/>
              </w:rPr>
              <w:t>, 平均值85.9 nGy</w:t>
            </w:r>
            <w:r>
              <w:rPr>
                <w:rFonts w:hint="eastAsia" w:ascii="宋体" w:hAnsi="宋体" w:eastAsia="宋体" w:cs="宋体"/>
                <w:color w:val="auto"/>
                <w:sz w:val="24"/>
                <w:highlight w:val="none"/>
              </w:rPr>
              <w:sym w:font="Symbol" w:char="F0D7"/>
            </w:r>
            <w:r>
              <w:rPr>
                <w:rFonts w:hint="eastAsia" w:ascii="宋体" w:hAnsi="宋体" w:eastAsia="宋体" w:cs="宋体"/>
                <w:color w:val="auto"/>
                <w:sz w:val="24"/>
                <w:highlight w:val="none"/>
              </w:rPr>
              <w:t>h</w:t>
            </w:r>
            <w:r>
              <w:rPr>
                <w:rFonts w:hint="eastAsia" w:ascii="宋体" w:hAnsi="宋体" w:eastAsia="宋体" w:cs="宋体"/>
                <w:color w:val="auto"/>
                <w:sz w:val="24"/>
                <w:highlight w:val="none"/>
                <w:vertAlign w:val="superscript"/>
              </w:rPr>
              <w:t>-1</w:t>
            </w:r>
            <w:r>
              <w:rPr>
                <w:rFonts w:hint="eastAsia" w:ascii="宋体" w:hAnsi="宋体" w:eastAsia="宋体" w:cs="宋体"/>
                <w:color w:val="auto"/>
                <w:sz w:val="24"/>
                <w:highlight w:val="none"/>
              </w:rPr>
              <w:t>（未扣除室外宇宙射线响应值32.4 nGy</w:t>
            </w:r>
            <w:r>
              <w:rPr>
                <w:rFonts w:hint="eastAsia" w:ascii="宋体" w:hAnsi="宋体" w:eastAsia="宋体" w:cs="宋体"/>
                <w:color w:val="auto"/>
                <w:sz w:val="24"/>
                <w:highlight w:val="none"/>
              </w:rPr>
              <w:sym w:font="Symbol" w:char="F0D7"/>
            </w:r>
            <w:r>
              <w:rPr>
                <w:rFonts w:hint="eastAsia" w:ascii="宋体" w:hAnsi="宋体" w:eastAsia="宋体" w:cs="宋体"/>
                <w:color w:val="auto"/>
                <w:sz w:val="24"/>
                <w:highlight w:val="none"/>
              </w:rPr>
              <w:t>h</w:t>
            </w:r>
            <w:r>
              <w:rPr>
                <w:rFonts w:hint="eastAsia" w:ascii="宋体" w:hAnsi="宋体" w:eastAsia="宋体" w:cs="宋体"/>
                <w:color w:val="auto"/>
                <w:sz w:val="24"/>
                <w:highlight w:val="none"/>
                <w:vertAlign w:val="superscript"/>
              </w:rPr>
              <w:t>-1</w:t>
            </w:r>
            <w:r>
              <w:rPr>
                <w:rFonts w:hint="eastAsia" w:ascii="宋体" w:hAnsi="宋体" w:eastAsia="宋体" w:cs="宋体"/>
                <w:color w:val="auto"/>
                <w:sz w:val="24"/>
                <w:highlight w:val="none"/>
              </w:rPr>
              <w:t>）；</w:t>
            </w:r>
          </w:p>
          <w:p>
            <w:pPr>
              <w:numPr>
                <w:ilvl w:val="0"/>
                <w:numId w:val="1"/>
              </w:numPr>
              <w:spacing w:line="360" w:lineRule="auto"/>
              <w:ind w:firstLine="544" w:firstLineChars="200"/>
              <w:jc w:val="both"/>
              <w:rPr>
                <w:rFonts w:hint="eastAsia" w:ascii="宋体" w:hAnsi="宋体" w:eastAsia="宋体" w:cs="宋体"/>
                <w:color w:val="auto"/>
                <w:spacing w:val="16"/>
                <w:sz w:val="24"/>
                <w:highlight w:val="none"/>
              </w:rPr>
            </w:pPr>
            <w:r>
              <w:rPr>
                <w:rFonts w:hint="eastAsia" w:ascii="宋体" w:hAnsi="宋体" w:eastAsia="宋体" w:cs="宋体"/>
                <w:color w:val="auto"/>
                <w:spacing w:val="16"/>
                <w:sz w:val="24"/>
                <w:highlight w:val="none"/>
              </w:rPr>
              <w:t>建设单位提供的其他资料。</w:t>
            </w:r>
          </w:p>
          <w:p>
            <w:pPr>
              <w:spacing w:line="240" w:lineRule="auto"/>
              <w:rPr>
                <w:rFonts w:hint="eastAsia" w:ascii="宋体" w:hAnsi="宋体" w:eastAsia="宋体" w:cs="宋体"/>
                <w:color w:val="auto"/>
                <w:spacing w:val="16"/>
                <w:sz w:val="24"/>
                <w:highlight w:val="none"/>
              </w:rPr>
            </w:pPr>
          </w:p>
          <w:p>
            <w:pPr>
              <w:spacing w:line="240" w:lineRule="auto"/>
              <w:rPr>
                <w:rFonts w:hint="eastAsia" w:ascii="宋体" w:hAnsi="宋体" w:eastAsia="宋体" w:cs="宋体"/>
                <w:color w:val="0000FF"/>
                <w:spacing w:val="16"/>
                <w:sz w:val="24"/>
                <w:highlight w:val="none"/>
              </w:rPr>
            </w:pPr>
          </w:p>
          <w:p>
            <w:pPr>
              <w:spacing w:line="240" w:lineRule="auto"/>
              <w:rPr>
                <w:rFonts w:hint="eastAsia" w:ascii="宋体" w:hAnsi="宋体" w:eastAsia="宋体" w:cs="宋体"/>
                <w:color w:val="0000FF"/>
                <w:spacing w:val="16"/>
                <w:sz w:val="24"/>
                <w:highlight w:val="none"/>
              </w:rPr>
            </w:pPr>
          </w:p>
          <w:p>
            <w:pPr>
              <w:pStyle w:val="25"/>
              <w:spacing w:line="240" w:lineRule="auto"/>
              <w:rPr>
                <w:rFonts w:hint="eastAsia" w:ascii="宋体" w:hAnsi="宋体" w:eastAsia="宋体" w:cs="宋体"/>
                <w:color w:val="0000FF"/>
                <w:highlight w:val="none"/>
              </w:rPr>
            </w:pPr>
          </w:p>
          <w:p>
            <w:pPr>
              <w:spacing w:line="240" w:lineRule="auto"/>
              <w:rPr>
                <w:rFonts w:hint="eastAsia" w:ascii="宋体" w:hAnsi="宋体" w:eastAsia="宋体" w:cs="宋体"/>
                <w:color w:val="0000FF"/>
                <w:spacing w:val="16"/>
                <w:sz w:val="24"/>
                <w:highlight w:val="none"/>
              </w:rPr>
            </w:pPr>
          </w:p>
          <w:p>
            <w:pPr>
              <w:spacing w:line="240" w:lineRule="auto"/>
              <w:rPr>
                <w:rFonts w:hint="eastAsia" w:ascii="宋体" w:hAnsi="宋体" w:eastAsia="宋体" w:cs="宋体"/>
                <w:color w:val="0000FF"/>
                <w:spacing w:val="16"/>
                <w:sz w:val="24"/>
                <w:highlight w:val="none"/>
              </w:rPr>
            </w:pPr>
          </w:p>
          <w:p>
            <w:pPr>
              <w:spacing w:line="240" w:lineRule="auto"/>
              <w:rPr>
                <w:rFonts w:hint="eastAsia" w:ascii="宋体" w:hAnsi="宋体" w:eastAsia="宋体" w:cs="宋体"/>
                <w:color w:val="auto"/>
                <w:spacing w:val="16"/>
                <w:sz w:val="24"/>
                <w:highlight w:val="none"/>
              </w:rPr>
            </w:pPr>
          </w:p>
          <w:p>
            <w:pPr>
              <w:spacing w:line="240" w:lineRule="auto"/>
              <w:rPr>
                <w:rFonts w:hint="eastAsia" w:ascii="宋体" w:hAnsi="宋体" w:eastAsia="宋体" w:cs="宋体"/>
                <w:color w:val="0000FF"/>
                <w:spacing w:val="16"/>
                <w:sz w:val="24"/>
                <w:highlight w:val="none"/>
              </w:rPr>
            </w:pPr>
          </w:p>
          <w:p>
            <w:pPr>
              <w:spacing w:line="240" w:lineRule="auto"/>
              <w:rPr>
                <w:rFonts w:hint="eastAsia" w:ascii="宋体" w:hAnsi="宋体" w:eastAsia="宋体" w:cs="宋体"/>
                <w:color w:val="0000FF"/>
                <w:spacing w:val="16"/>
                <w:sz w:val="24"/>
                <w:highlight w:val="none"/>
              </w:rPr>
            </w:pPr>
          </w:p>
          <w:p>
            <w:pPr>
              <w:pStyle w:val="25"/>
              <w:spacing w:line="240" w:lineRule="auto"/>
              <w:rPr>
                <w:rFonts w:hint="eastAsia" w:ascii="宋体" w:hAnsi="宋体" w:eastAsia="宋体" w:cs="宋体"/>
                <w:color w:val="0000FF"/>
                <w:highlight w:val="none"/>
              </w:rPr>
            </w:pPr>
          </w:p>
          <w:p>
            <w:pPr>
              <w:spacing w:line="240" w:lineRule="auto"/>
              <w:rPr>
                <w:rFonts w:hint="eastAsia" w:ascii="宋体" w:hAnsi="宋体" w:eastAsia="宋体" w:cs="宋体"/>
                <w:color w:val="0000FF"/>
                <w:spacing w:val="16"/>
                <w:sz w:val="24"/>
                <w:highlight w:val="none"/>
              </w:rPr>
            </w:pPr>
          </w:p>
          <w:p>
            <w:pPr>
              <w:spacing w:line="240" w:lineRule="auto"/>
              <w:rPr>
                <w:rFonts w:hint="eastAsia" w:ascii="宋体" w:hAnsi="宋体" w:eastAsia="宋体" w:cs="宋体"/>
                <w:color w:val="0000FF"/>
                <w:spacing w:val="16"/>
                <w:sz w:val="24"/>
                <w:highlight w:val="none"/>
              </w:rPr>
            </w:pPr>
          </w:p>
          <w:p>
            <w:pPr>
              <w:spacing w:line="240" w:lineRule="auto"/>
              <w:rPr>
                <w:rFonts w:hint="eastAsia" w:ascii="宋体" w:hAnsi="宋体" w:eastAsia="宋体" w:cs="宋体"/>
                <w:color w:val="auto"/>
                <w:spacing w:val="16"/>
                <w:sz w:val="24"/>
                <w:highlight w:val="none"/>
              </w:rPr>
            </w:pPr>
          </w:p>
          <w:p>
            <w:pPr>
              <w:spacing w:line="240" w:lineRule="auto"/>
              <w:rPr>
                <w:rFonts w:hint="eastAsia" w:ascii="宋体" w:hAnsi="宋体" w:eastAsia="宋体" w:cs="宋体"/>
                <w:color w:val="0000FF"/>
                <w:spacing w:val="16"/>
                <w:sz w:val="24"/>
                <w:highlight w:val="none"/>
              </w:rPr>
            </w:pPr>
          </w:p>
          <w:p>
            <w:pPr>
              <w:spacing w:line="240" w:lineRule="auto"/>
              <w:rPr>
                <w:rFonts w:hint="eastAsia" w:ascii="宋体" w:hAnsi="宋体" w:eastAsia="宋体" w:cs="宋体"/>
                <w:color w:val="0000FF"/>
                <w:spacing w:val="16"/>
                <w:sz w:val="24"/>
                <w:highlight w:val="none"/>
              </w:rPr>
            </w:pPr>
          </w:p>
          <w:p>
            <w:pPr>
              <w:pStyle w:val="25"/>
              <w:spacing w:line="240" w:lineRule="auto"/>
              <w:rPr>
                <w:rFonts w:hint="eastAsia" w:ascii="宋体" w:hAnsi="宋体" w:eastAsia="宋体" w:cs="宋体"/>
                <w:color w:val="0000FF"/>
                <w:highlight w:val="none"/>
              </w:rPr>
            </w:pPr>
          </w:p>
          <w:p>
            <w:pPr>
              <w:spacing w:line="240" w:lineRule="auto"/>
              <w:rPr>
                <w:rFonts w:hint="eastAsia" w:ascii="宋体" w:hAnsi="宋体" w:eastAsia="宋体" w:cs="宋体"/>
                <w:color w:val="0000FF"/>
                <w:spacing w:val="16"/>
                <w:sz w:val="24"/>
                <w:highlight w:val="none"/>
              </w:rPr>
            </w:pPr>
          </w:p>
          <w:p>
            <w:pPr>
              <w:spacing w:line="240" w:lineRule="auto"/>
              <w:rPr>
                <w:rFonts w:hint="eastAsia" w:ascii="宋体" w:hAnsi="宋体" w:eastAsia="宋体" w:cs="宋体"/>
                <w:color w:val="auto"/>
                <w:spacing w:val="16"/>
                <w:sz w:val="24"/>
                <w:highlight w:val="none"/>
              </w:rPr>
            </w:pPr>
          </w:p>
          <w:p>
            <w:pPr>
              <w:spacing w:line="240" w:lineRule="auto"/>
              <w:rPr>
                <w:rFonts w:hint="eastAsia" w:ascii="宋体" w:hAnsi="宋体" w:eastAsia="宋体" w:cs="宋体"/>
                <w:color w:val="0000FF"/>
                <w:spacing w:val="16"/>
                <w:sz w:val="24"/>
                <w:highlight w:val="none"/>
              </w:rPr>
            </w:pPr>
          </w:p>
          <w:p>
            <w:pPr>
              <w:spacing w:line="240" w:lineRule="auto"/>
              <w:rPr>
                <w:rFonts w:hint="eastAsia" w:ascii="宋体" w:hAnsi="宋体" w:eastAsia="宋体" w:cs="宋体"/>
                <w:color w:val="0000FF"/>
                <w:spacing w:val="16"/>
                <w:sz w:val="24"/>
                <w:highlight w:val="none"/>
              </w:rPr>
            </w:pPr>
          </w:p>
          <w:p>
            <w:pPr>
              <w:pStyle w:val="25"/>
              <w:spacing w:line="240" w:lineRule="auto"/>
              <w:rPr>
                <w:rFonts w:hint="eastAsia" w:ascii="宋体" w:hAnsi="宋体" w:eastAsia="宋体" w:cs="宋体"/>
                <w:color w:val="0000FF"/>
                <w:highlight w:val="none"/>
              </w:rPr>
            </w:pPr>
          </w:p>
          <w:p>
            <w:pPr>
              <w:spacing w:before="312" w:beforeLines="100" w:line="360" w:lineRule="auto"/>
              <w:rPr>
                <w:rFonts w:hint="eastAsia" w:ascii="宋体" w:hAnsi="宋体" w:eastAsia="宋体" w:cs="宋体"/>
                <w:color w:val="0000FF"/>
                <w:spacing w:val="16"/>
                <w:sz w:val="24"/>
                <w:highlight w:val="none"/>
              </w:rPr>
            </w:pPr>
          </w:p>
        </w:tc>
      </w:tr>
    </w:tbl>
    <w:p>
      <w:pPr>
        <w:spacing w:line="360" w:lineRule="auto"/>
        <w:outlineLvl w:val="0"/>
        <w:rPr>
          <w:rFonts w:hint="eastAsia" w:ascii="宋体" w:hAnsi="宋体" w:eastAsia="宋体" w:cs="宋体"/>
          <w:b/>
          <w:color w:val="auto"/>
          <w:sz w:val="28"/>
          <w:szCs w:val="28"/>
          <w:highlight w:val="none"/>
        </w:rPr>
      </w:pPr>
      <w:bookmarkStart w:id="6" w:name="_Toc18386"/>
      <w:r>
        <w:rPr>
          <w:rFonts w:hint="eastAsia" w:ascii="宋体" w:hAnsi="宋体" w:eastAsia="宋体" w:cs="宋体"/>
          <w:b/>
          <w:color w:val="auto"/>
          <w:sz w:val="28"/>
          <w:szCs w:val="28"/>
          <w:highlight w:val="none"/>
        </w:rPr>
        <w:t>表7 保护目标与评价标准</w:t>
      </w:r>
      <w:bookmarkEnd w:id="6"/>
    </w:p>
    <w:tbl>
      <w:tblPr>
        <w:tblStyle w:val="18"/>
        <w:tblW w:w="5000" w:type="pct"/>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8946"/>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75" w:hRule="atLeast"/>
          <w:jc w:val="center"/>
        </w:trPr>
        <w:tc>
          <w:tcPr>
            <w:tcW w:w="8946" w:type="dxa"/>
            <w:vAlign w:val="top"/>
          </w:tcPr>
          <w:p>
            <w:pPr>
              <w:spacing w:line="360" w:lineRule="auto"/>
              <w:ind w:firstLine="0" w:firstLineChars="0"/>
              <w:rPr>
                <w:rFonts w:hint="eastAsia" w:ascii="宋体" w:hAnsi="宋体" w:eastAsia="宋体" w:cs="宋体"/>
                <w:b/>
                <w:color w:val="auto"/>
                <w:sz w:val="24"/>
                <w:highlight w:val="none"/>
              </w:rPr>
            </w:pPr>
            <w:r>
              <w:rPr>
                <w:rFonts w:hint="eastAsia" w:ascii="宋体" w:hAnsi="宋体" w:eastAsia="宋体" w:cs="宋体"/>
                <w:b/>
                <w:color w:val="auto"/>
                <w:sz w:val="24"/>
                <w:highlight w:val="none"/>
              </w:rPr>
              <w:t>7.1评价范围</w:t>
            </w:r>
          </w:p>
          <w:p>
            <w:pPr>
              <w:spacing w:line="360" w:lineRule="auto"/>
              <w:ind w:firstLine="480" w:firstLineChars="200"/>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按照《核技术利用建设项目环境影响评价文件的内容和格式》（HJ10.1-2016）的规定：射线装置应用项目的评价范围通常取装置所在场所实体屏蔽物边界外50m的范围。确定本项目的评价范围为加速器机房屏蔽体外周围50m范围内区域。</w:t>
            </w:r>
          </w:p>
          <w:p>
            <w:pPr>
              <w:spacing w:line="360" w:lineRule="auto"/>
              <w:ind w:firstLine="0" w:firstLineChars="0"/>
              <w:rPr>
                <w:rFonts w:hint="eastAsia" w:ascii="宋体" w:hAnsi="宋体" w:eastAsia="宋体" w:cs="宋体"/>
                <w:b/>
                <w:color w:val="auto"/>
                <w:sz w:val="24"/>
                <w:highlight w:val="none"/>
              </w:rPr>
            </w:pPr>
            <w:r>
              <w:rPr>
                <w:rFonts w:hint="eastAsia" w:ascii="宋体" w:hAnsi="宋体" w:eastAsia="宋体" w:cs="宋体"/>
                <w:b/>
                <w:color w:val="auto"/>
                <w:sz w:val="24"/>
                <w:highlight w:val="none"/>
              </w:rPr>
              <w:t>7.2保护目标</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本项目环境保护目标为</w:t>
            </w:r>
            <w:r>
              <w:rPr>
                <w:rFonts w:hint="eastAsia" w:ascii="宋体" w:hAnsi="宋体" w:eastAsia="宋体" w:cs="宋体"/>
                <w:color w:val="auto"/>
                <w:sz w:val="24"/>
                <w:highlight w:val="none"/>
                <w:lang w:val="en-US" w:eastAsia="zh-CN"/>
              </w:rPr>
              <w:t>本项目</w:t>
            </w:r>
            <w:r>
              <w:rPr>
                <w:rFonts w:hint="eastAsia" w:ascii="宋体" w:hAnsi="宋体" w:eastAsia="宋体" w:cs="宋体"/>
                <w:color w:val="auto"/>
                <w:sz w:val="24"/>
                <w:highlight w:val="none"/>
              </w:rPr>
              <w:t>从事辐射工作的</w:t>
            </w:r>
            <w:r>
              <w:rPr>
                <w:rFonts w:hint="eastAsia" w:ascii="宋体" w:hAnsi="宋体" w:eastAsia="宋体" w:cs="宋体"/>
                <w:color w:val="auto"/>
                <w:sz w:val="24"/>
                <w:highlight w:val="none"/>
                <w:lang w:val="en-US" w:eastAsia="zh-CN"/>
              </w:rPr>
              <w:t>职业</w:t>
            </w:r>
            <w:r>
              <w:rPr>
                <w:rFonts w:hint="eastAsia" w:ascii="宋体" w:hAnsi="宋体" w:eastAsia="宋体" w:cs="宋体"/>
                <w:color w:val="auto"/>
                <w:sz w:val="24"/>
                <w:highlight w:val="none"/>
              </w:rPr>
              <w:t>人员以及评价范围内</w:t>
            </w:r>
            <w:r>
              <w:rPr>
                <w:rFonts w:hint="eastAsia" w:ascii="宋体" w:hAnsi="宋体" w:eastAsia="宋体" w:cs="宋体"/>
                <w:color w:val="auto"/>
                <w:sz w:val="24"/>
                <w:highlight w:val="none"/>
                <w:lang w:val="en-US" w:eastAsia="zh-CN"/>
              </w:rPr>
              <w:t>的</w:t>
            </w:r>
            <w:r>
              <w:rPr>
                <w:rFonts w:hint="eastAsia" w:ascii="宋体" w:hAnsi="宋体" w:eastAsia="宋体" w:cs="宋体"/>
                <w:color w:val="auto"/>
                <w:sz w:val="24"/>
                <w:highlight w:val="none"/>
              </w:rPr>
              <w:t>公众成员。详见表7-1。</w:t>
            </w:r>
          </w:p>
          <w:p>
            <w:pPr>
              <w:spacing w:line="240" w:lineRule="auto"/>
              <w:ind w:firstLine="422" w:firstLineChars="200"/>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表7-1 本项目环境保护目标一览表</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5"/>
              <w:gridCol w:w="666"/>
              <w:gridCol w:w="744"/>
              <w:gridCol w:w="2808"/>
              <w:gridCol w:w="1500"/>
              <w:gridCol w:w="1215"/>
              <w:gridCol w:w="107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725" w:type="dxa"/>
                  <w:vAlign w:val="center"/>
                </w:tcPr>
                <w:p>
                  <w:pPr>
                    <w:spacing w:line="240" w:lineRule="auto"/>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污染源</w:t>
                  </w:r>
                </w:p>
              </w:tc>
              <w:tc>
                <w:tcPr>
                  <w:tcW w:w="666" w:type="dxa"/>
                  <w:vAlign w:val="center"/>
                </w:tcPr>
                <w:p>
                  <w:pPr>
                    <w:spacing w:line="240" w:lineRule="auto"/>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环境要素</w:t>
                  </w:r>
                </w:p>
              </w:tc>
              <w:tc>
                <w:tcPr>
                  <w:tcW w:w="3552" w:type="dxa"/>
                  <w:gridSpan w:val="2"/>
                  <w:vAlign w:val="center"/>
                </w:tcPr>
                <w:p>
                  <w:pPr>
                    <w:spacing w:line="240" w:lineRule="auto"/>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保护目标</w:t>
                  </w:r>
                </w:p>
              </w:tc>
              <w:tc>
                <w:tcPr>
                  <w:tcW w:w="1500" w:type="dxa"/>
                  <w:vAlign w:val="center"/>
                </w:tcPr>
                <w:p>
                  <w:pPr>
                    <w:spacing w:line="240" w:lineRule="auto"/>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位置</w:t>
                  </w:r>
                </w:p>
              </w:tc>
              <w:tc>
                <w:tcPr>
                  <w:tcW w:w="1215" w:type="dxa"/>
                  <w:vAlign w:val="center"/>
                </w:tcPr>
                <w:p>
                  <w:pPr>
                    <w:spacing w:line="240" w:lineRule="auto"/>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距离</w:t>
                  </w:r>
                  <w:r>
                    <w:rPr>
                      <w:rFonts w:hint="eastAsia" w:ascii="宋体" w:hAnsi="宋体" w:eastAsia="宋体" w:cs="宋体"/>
                      <w:color w:val="auto"/>
                      <w:sz w:val="21"/>
                      <w:szCs w:val="21"/>
                      <w:highlight w:val="none"/>
                    </w:rPr>
                    <w:t>（m）</w:t>
                  </w:r>
                </w:p>
              </w:tc>
              <w:tc>
                <w:tcPr>
                  <w:tcW w:w="1072" w:type="dxa"/>
                  <w:vAlign w:val="center"/>
                </w:tcPr>
                <w:p>
                  <w:pPr>
                    <w:spacing w:line="240" w:lineRule="auto"/>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人数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725" w:type="dxa"/>
                  <w:vMerge w:val="restart"/>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加</w:t>
                  </w:r>
                </w:p>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速</w:t>
                  </w:r>
                </w:p>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器</w:t>
                  </w:r>
                </w:p>
              </w:tc>
              <w:tc>
                <w:tcPr>
                  <w:tcW w:w="666" w:type="dxa"/>
                  <w:vMerge w:val="restart"/>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电离</w:t>
                  </w:r>
                </w:p>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辐射</w:t>
                  </w:r>
                </w:p>
              </w:tc>
              <w:tc>
                <w:tcPr>
                  <w:tcW w:w="744" w:type="dxa"/>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职业</w:t>
                  </w:r>
                </w:p>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人员</w:t>
                  </w:r>
                </w:p>
              </w:tc>
              <w:tc>
                <w:tcPr>
                  <w:tcW w:w="2808" w:type="dxa"/>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加速器</w:t>
                  </w:r>
                  <w:r>
                    <w:rPr>
                      <w:rFonts w:hint="eastAsia" w:ascii="宋体" w:hAnsi="宋体" w:eastAsia="宋体" w:cs="宋体"/>
                      <w:color w:val="auto"/>
                      <w:sz w:val="21"/>
                      <w:szCs w:val="21"/>
                      <w:highlight w:val="none"/>
                      <w:lang w:val="en-US" w:eastAsia="zh-CN"/>
                    </w:rPr>
                    <w:t>控制室</w:t>
                  </w:r>
                  <w:r>
                    <w:rPr>
                      <w:rFonts w:hint="eastAsia" w:ascii="宋体" w:hAnsi="宋体" w:eastAsia="宋体" w:cs="宋体"/>
                      <w:color w:val="auto"/>
                      <w:sz w:val="21"/>
                      <w:szCs w:val="21"/>
                      <w:highlight w:val="none"/>
                    </w:rPr>
                    <w:t>工作人员</w:t>
                  </w:r>
                </w:p>
              </w:tc>
              <w:tc>
                <w:tcPr>
                  <w:tcW w:w="1500" w:type="dxa"/>
                  <w:vAlign w:val="center"/>
                </w:tcPr>
                <w:p>
                  <w:pPr>
                    <w:spacing w:line="240" w:lineRule="auto"/>
                    <w:jc w:val="center"/>
                    <w:rPr>
                      <w:rFonts w:hint="eastAsia" w:ascii="宋体" w:hAnsi="宋体" w:eastAsia="宋体" w:cs="宋体"/>
                      <w:color w:val="auto"/>
                      <w:sz w:val="21"/>
                      <w:szCs w:val="21"/>
                      <w:highlight w:val="none"/>
                      <w:lang w:val="en-US"/>
                    </w:rPr>
                  </w:pPr>
                  <w:r>
                    <w:rPr>
                      <w:rFonts w:hint="eastAsia" w:ascii="宋体" w:hAnsi="宋体" w:eastAsia="宋体" w:cs="宋体"/>
                      <w:color w:val="auto"/>
                      <w:sz w:val="21"/>
                      <w:szCs w:val="21"/>
                      <w:highlight w:val="none"/>
                      <w:lang w:val="en-US" w:eastAsia="zh-CN"/>
                    </w:rPr>
                    <w:t>设备机房和水冷机房东侧</w:t>
                  </w:r>
                </w:p>
              </w:tc>
              <w:tc>
                <w:tcPr>
                  <w:tcW w:w="1215" w:type="dxa"/>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3.88</w:t>
                  </w: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val="en-US" w:eastAsia="zh-CN"/>
                    </w:rPr>
                    <w:t>7.38</w:t>
                  </w:r>
                </w:p>
              </w:tc>
              <w:tc>
                <w:tcPr>
                  <w:tcW w:w="1072" w:type="dxa"/>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5</w:t>
                  </w:r>
                  <w:r>
                    <w:rPr>
                      <w:rFonts w:hint="eastAsia" w:ascii="宋体" w:hAnsi="宋体" w:eastAsia="宋体" w:cs="宋体"/>
                      <w:color w:val="auto"/>
                      <w:sz w:val="21"/>
                      <w:szCs w:val="21"/>
                      <w:highlight w:val="none"/>
                    </w:rPr>
                    <w:t>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25" w:type="dxa"/>
                  <w:vMerge w:val="continue"/>
                  <w:vAlign w:val="center"/>
                </w:tcPr>
                <w:p>
                  <w:pPr>
                    <w:spacing w:line="240" w:lineRule="auto"/>
                    <w:jc w:val="center"/>
                    <w:rPr>
                      <w:rFonts w:hint="eastAsia" w:ascii="宋体" w:hAnsi="宋体" w:eastAsia="宋体" w:cs="宋体"/>
                      <w:color w:val="auto"/>
                      <w:sz w:val="21"/>
                      <w:szCs w:val="21"/>
                      <w:highlight w:val="none"/>
                    </w:rPr>
                  </w:pPr>
                </w:p>
              </w:tc>
              <w:tc>
                <w:tcPr>
                  <w:tcW w:w="666" w:type="dxa"/>
                  <w:vMerge w:val="continue"/>
                  <w:vAlign w:val="center"/>
                </w:tcPr>
                <w:p>
                  <w:pPr>
                    <w:spacing w:line="240" w:lineRule="auto"/>
                    <w:jc w:val="center"/>
                    <w:rPr>
                      <w:rFonts w:hint="eastAsia" w:ascii="宋体" w:hAnsi="宋体" w:eastAsia="宋体" w:cs="宋体"/>
                      <w:color w:val="auto"/>
                      <w:sz w:val="21"/>
                      <w:szCs w:val="21"/>
                      <w:highlight w:val="none"/>
                    </w:rPr>
                  </w:pPr>
                </w:p>
              </w:tc>
              <w:tc>
                <w:tcPr>
                  <w:tcW w:w="744" w:type="dxa"/>
                  <w:vMerge w:val="restart"/>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公众人员</w:t>
                  </w:r>
                </w:p>
              </w:tc>
              <w:tc>
                <w:tcPr>
                  <w:tcW w:w="2808" w:type="dxa"/>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设备机房、水冷机房人员、计划室人员、过厅及病号等候区人员、走廊人员、办公室人员、设备间人员、制模室人员、卫生间人员、骨科楼人员、室外人员</w:t>
                  </w:r>
                </w:p>
              </w:tc>
              <w:tc>
                <w:tcPr>
                  <w:tcW w:w="1500" w:type="dxa"/>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东侧屏蔽体外</w:t>
                  </w:r>
                </w:p>
              </w:tc>
              <w:tc>
                <w:tcPr>
                  <w:tcW w:w="1215" w:type="dxa"/>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0</w:t>
                  </w:r>
                  <w:r>
                    <w:rPr>
                      <w:rFonts w:hint="eastAsia" w:ascii="宋体" w:hAnsi="宋体" w:eastAsia="宋体" w:cs="宋体"/>
                      <w:color w:val="auto"/>
                      <w:sz w:val="21"/>
                      <w:szCs w:val="21"/>
                      <w:highlight w:val="none"/>
                    </w:rPr>
                    <w:t>～50</w:t>
                  </w:r>
                </w:p>
              </w:tc>
              <w:tc>
                <w:tcPr>
                  <w:tcW w:w="1072" w:type="dxa"/>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约</w:t>
                  </w:r>
                  <w:r>
                    <w:rPr>
                      <w:rFonts w:hint="eastAsia" w:ascii="宋体" w:hAnsi="宋体" w:eastAsia="宋体" w:cs="宋体"/>
                      <w:color w:val="auto"/>
                      <w:sz w:val="21"/>
                      <w:szCs w:val="21"/>
                      <w:highlight w:val="none"/>
                      <w:lang w:val="en-US" w:eastAsia="zh-CN"/>
                    </w:rPr>
                    <w:t>20</w:t>
                  </w:r>
                  <w:r>
                    <w:rPr>
                      <w:rFonts w:hint="eastAsia" w:ascii="宋体" w:hAnsi="宋体" w:eastAsia="宋体" w:cs="宋体"/>
                      <w:color w:val="auto"/>
                      <w:sz w:val="21"/>
                      <w:szCs w:val="21"/>
                      <w:highlight w:val="none"/>
                    </w:rPr>
                    <w:t>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725" w:type="dxa"/>
                  <w:vMerge w:val="continue"/>
                  <w:vAlign w:val="center"/>
                </w:tcPr>
                <w:p>
                  <w:pPr>
                    <w:spacing w:line="240" w:lineRule="auto"/>
                    <w:jc w:val="center"/>
                    <w:rPr>
                      <w:rFonts w:hint="eastAsia" w:ascii="宋体" w:hAnsi="宋体" w:eastAsia="宋体" w:cs="宋体"/>
                      <w:color w:val="0000FF"/>
                      <w:sz w:val="21"/>
                      <w:szCs w:val="21"/>
                      <w:highlight w:val="none"/>
                    </w:rPr>
                  </w:pPr>
                </w:p>
              </w:tc>
              <w:tc>
                <w:tcPr>
                  <w:tcW w:w="666" w:type="dxa"/>
                  <w:vMerge w:val="continue"/>
                  <w:vAlign w:val="center"/>
                </w:tcPr>
                <w:p>
                  <w:pPr>
                    <w:spacing w:line="240" w:lineRule="auto"/>
                    <w:jc w:val="center"/>
                    <w:rPr>
                      <w:rFonts w:hint="eastAsia" w:ascii="宋体" w:hAnsi="宋体" w:eastAsia="宋体" w:cs="宋体"/>
                      <w:color w:val="0000FF"/>
                      <w:sz w:val="21"/>
                      <w:szCs w:val="21"/>
                      <w:highlight w:val="none"/>
                    </w:rPr>
                  </w:pPr>
                </w:p>
              </w:tc>
              <w:tc>
                <w:tcPr>
                  <w:tcW w:w="744" w:type="dxa"/>
                  <w:vMerge w:val="continue"/>
                  <w:vAlign w:val="center"/>
                </w:tcPr>
                <w:p>
                  <w:pPr>
                    <w:spacing w:line="240" w:lineRule="auto"/>
                    <w:jc w:val="center"/>
                    <w:rPr>
                      <w:rFonts w:hint="eastAsia" w:ascii="宋体" w:hAnsi="宋体" w:eastAsia="宋体" w:cs="宋体"/>
                      <w:color w:val="0000FF"/>
                      <w:sz w:val="21"/>
                      <w:szCs w:val="21"/>
                      <w:highlight w:val="none"/>
                    </w:rPr>
                  </w:pPr>
                </w:p>
              </w:tc>
              <w:tc>
                <w:tcPr>
                  <w:tcW w:w="2808" w:type="dxa"/>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室外人员、病理科人员、门诊楼人员</w:t>
                  </w:r>
                </w:p>
              </w:tc>
              <w:tc>
                <w:tcPr>
                  <w:tcW w:w="1500" w:type="dxa"/>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西侧屏蔽体外</w:t>
                  </w:r>
                </w:p>
              </w:tc>
              <w:tc>
                <w:tcPr>
                  <w:tcW w:w="1215" w:type="dxa"/>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0</w:t>
                  </w:r>
                  <w:r>
                    <w:rPr>
                      <w:rFonts w:hint="eastAsia" w:ascii="宋体" w:hAnsi="宋体" w:eastAsia="宋体" w:cs="宋体"/>
                      <w:color w:val="auto"/>
                      <w:sz w:val="21"/>
                      <w:szCs w:val="21"/>
                      <w:highlight w:val="none"/>
                    </w:rPr>
                    <w:t>～50</w:t>
                  </w:r>
                </w:p>
              </w:tc>
              <w:tc>
                <w:tcPr>
                  <w:tcW w:w="1072" w:type="dxa"/>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约</w:t>
                  </w:r>
                  <w:r>
                    <w:rPr>
                      <w:rFonts w:hint="eastAsia" w:ascii="宋体" w:hAnsi="宋体" w:eastAsia="宋体" w:cs="宋体"/>
                      <w:color w:val="auto"/>
                      <w:sz w:val="21"/>
                      <w:szCs w:val="21"/>
                      <w:highlight w:val="none"/>
                      <w:lang w:val="en-US" w:eastAsia="zh-CN"/>
                    </w:rPr>
                    <w:t>80</w:t>
                  </w:r>
                  <w:r>
                    <w:rPr>
                      <w:rFonts w:hint="eastAsia" w:ascii="宋体" w:hAnsi="宋体" w:eastAsia="宋体" w:cs="宋体"/>
                      <w:color w:val="auto"/>
                      <w:sz w:val="21"/>
                      <w:szCs w:val="21"/>
                      <w:highlight w:val="none"/>
                    </w:rPr>
                    <w:t>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25" w:type="dxa"/>
                  <w:vMerge w:val="continue"/>
                  <w:vAlign w:val="center"/>
                </w:tcPr>
                <w:p>
                  <w:pPr>
                    <w:spacing w:line="240" w:lineRule="auto"/>
                    <w:jc w:val="center"/>
                    <w:rPr>
                      <w:rFonts w:hint="eastAsia" w:ascii="宋体" w:hAnsi="宋体" w:eastAsia="宋体" w:cs="宋体"/>
                      <w:color w:val="0000FF"/>
                      <w:sz w:val="21"/>
                      <w:szCs w:val="21"/>
                      <w:highlight w:val="none"/>
                    </w:rPr>
                  </w:pPr>
                </w:p>
              </w:tc>
              <w:tc>
                <w:tcPr>
                  <w:tcW w:w="666" w:type="dxa"/>
                  <w:vMerge w:val="continue"/>
                  <w:vAlign w:val="center"/>
                </w:tcPr>
                <w:p>
                  <w:pPr>
                    <w:spacing w:line="240" w:lineRule="auto"/>
                    <w:jc w:val="center"/>
                    <w:rPr>
                      <w:rFonts w:hint="eastAsia" w:ascii="宋体" w:hAnsi="宋体" w:eastAsia="宋体" w:cs="宋体"/>
                      <w:color w:val="0000FF"/>
                      <w:sz w:val="21"/>
                      <w:szCs w:val="21"/>
                      <w:highlight w:val="none"/>
                    </w:rPr>
                  </w:pPr>
                </w:p>
              </w:tc>
              <w:tc>
                <w:tcPr>
                  <w:tcW w:w="744" w:type="dxa"/>
                  <w:vMerge w:val="continue"/>
                  <w:vAlign w:val="center"/>
                </w:tcPr>
                <w:p>
                  <w:pPr>
                    <w:spacing w:line="240" w:lineRule="auto"/>
                    <w:jc w:val="center"/>
                    <w:rPr>
                      <w:rFonts w:hint="eastAsia" w:ascii="宋体" w:hAnsi="宋体" w:eastAsia="宋体" w:cs="宋体"/>
                      <w:color w:val="0000FF"/>
                      <w:sz w:val="21"/>
                      <w:szCs w:val="21"/>
                      <w:highlight w:val="none"/>
                    </w:rPr>
                  </w:pPr>
                </w:p>
              </w:tc>
              <w:tc>
                <w:tcPr>
                  <w:tcW w:w="2808" w:type="dxa"/>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外科楼人员、室外人员</w:t>
                  </w:r>
                </w:p>
              </w:tc>
              <w:tc>
                <w:tcPr>
                  <w:tcW w:w="1500" w:type="dxa"/>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南侧屏蔽体外</w:t>
                  </w:r>
                </w:p>
              </w:tc>
              <w:tc>
                <w:tcPr>
                  <w:tcW w:w="1215" w:type="dxa"/>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0</w:t>
                  </w:r>
                  <w:r>
                    <w:rPr>
                      <w:rFonts w:hint="eastAsia" w:ascii="宋体" w:hAnsi="宋体" w:eastAsia="宋体" w:cs="宋体"/>
                      <w:color w:val="auto"/>
                      <w:sz w:val="21"/>
                      <w:szCs w:val="21"/>
                      <w:highlight w:val="none"/>
                    </w:rPr>
                    <w:t>～50</w:t>
                  </w:r>
                </w:p>
              </w:tc>
              <w:tc>
                <w:tcPr>
                  <w:tcW w:w="1072" w:type="dxa"/>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约</w:t>
                  </w:r>
                  <w:r>
                    <w:rPr>
                      <w:rFonts w:hint="eastAsia" w:ascii="宋体" w:hAnsi="宋体" w:eastAsia="宋体" w:cs="宋体"/>
                      <w:color w:val="auto"/>
                      <w:sz w:val="21"/>
                      <w:szCs w:val="21"/>
                      <w:highlight w:val="none"/>
                      <w:lang w:val="en-US" w:eastAsia="zh-CN"/>
                    </w:rPr>
                    <w:t>6</w:t>
                  </w:r>
                  <w:r>
                    <w:rPr>
                      <w:rFonts w:hint="eastAsia" w:ascii="宋体" w:hAnsi="宋体" w:eastAsia="宋体" w:cs="宋体"/>
                      <w:color w:val="auto"/>
                      <w:sz w:val="21"/>
                      <w:szCs w:val="21"/>
                      <w:highlight w:val="none"/>
                    </w:rPr>
                    <w:t>0人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725" w:type="dxa"/>
                  <w:vMerge w:val="continue"/>
                  <w:vAlign w:val="center"/>
                </w:tcPr>
                <w:p>
                  <w:pPr>
                    <w:spacing w:line="240" w:lineRule="auto"/>
                    <w:jc w:val="center"/>
                    <w:rPr>
                      <w:rFonts w:hint="eastAsia" w:ascii="宋体" w:hAnsi="宋体" w:eastAsia="宋体" w:cs="宋体"/>
                      <w:color w:val="0000FF"/>
                      <w:sz w:val="21"/>
                      <w:szCs w:val="21"/>
                      <w:highlight w:val="none"/>
                    </w:rPr>
                  </w:pPr>
                </w:p>
              </w:tc>
              <w:tc>
                <w:tcPr>
                  <w:tcW w:w="666" w:type="dxa"/>
                  <w:vMerge w:val="continue"/>
                  <w:vAlign w:val="center"/>
                </w:tcPr>
                <w:p>
                  <w:pPr>
                    <w:spacing w:line="240" w:lineRule="auto"/>
                    <w:jc w:val="center"/>
                    <w:rPr>
                      <w:rFonts w:hint="eastAsia" w:ascii="宋体" w:hAnsi="宋体" w:eastAsia="宋体" w:cs="宋体"/>
                      <w:color w:val="0000FF"/>
                      <w:sz w:val="21"/>
                      <w:szCs w:val="21"/>
                      <w:highlight w:val="none"/>
                    </w:rPr>
                  </w:pPr>
                </w:p>
              </w:tc>
              <w:tc>
                <w:tcPr>
                  <w:tcW w:w="744" w:type="dxa"/>
                  <w:vMerge w:val="continue"/>
                  <w:vAlign w:val="center"/>
                </w:tcPr>
                <w:p>
                  <w:pPr>
                    <w:spacing w:line="240" w:lineRule="auto"/>
                    <w:jc w:val="center"/>
                    <w:rPr>
                      <w:rFonts w:hint="eastAsia" w:ascii="宋体" w:hAnsi="宋体" w:eastAsia="宋体" w:cs="宋体"/>
                      <w:color w:val="0000FF"/>
                      <w:sz w:val="21"/>
                      <w:szCs w:val="21"/>
                      <w:highlight w:val="none"/>
                    </w:rPr>
                  </w:pPr>
                </w:p>
              </w:tc>
              <w:tc>
                <w:tcPr>
                  <w:tcW w:w="2808" w:type="dxa"/>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室外人员、新建综合楼人员、住院部人员</w:t>
                  </w:r>
                </w:p>
              </w:tc>
              <w:tc>
                <w:tcPr>
                  <w:tcW w:w="1500" w:type="dxa"/>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北侧屏蔽体外</w:t>
                  </w:r>
                </w:p>
              </w:tc>
              <w:tc>
                <w:tcPr>
                  <w:tcW w:w="1215" w:type="dxa"/>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0</w:t>
                  </w:r>
                  <w:r>
                    <w:rPr>
                      <w:rFonts w:hint="eastAsia" w:ascii="宋体" w:hAnsi="宋体" w:eastAsia="宋体" w:cs="宋体"/>
                      <w:color w:val="auto"/>
                      <w:sz w:val="21"/>
                      <w:szCs w:val="21"/>
                      <w:highlight w:val="none"/>
                    </w:rPr>
                    <w:t>～50</w:t>
                  </w:r>
                </w:p>
              </w:tc>
              <w:tc>
                <w:tcPr>
                  <w:tcW w:w="1072" w:type="dxa"/>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约</w:t>
                  </w:r>
                  <w:r>
                    <w:rPr>
                      <w:rFonts w:hint="eastAsia" w:ascii="宋体" w:hAnsi="宋体" w:eastAsia="宋体" w:cs="宋体"/>
                      <w:color w:val="auto"/>
                      <w:sz w:val="21"/>
                      <w:szCs w:val="21"/>
                      <w:highlight w:val="none"/>
                      <w:lang w:val="en-US" w:eastAsia="zh-CN"/>
                    </w:rPr>
                    <w:t>100</w:t>
                  </w:r>
                  <w:r>
                    <w:rPr>
                      <w:rFonts w:hint="eastAsia" w:ascii="宋体" w:hAnsi="宋体" w:eastAsia="宋体" w:cs="宋体"/>
                      <w:color w:val="auto"/>
                      <w:sz w:val="21"/>
                      <w:szCs w:val="21"/>
                      <w:highlight w:val="none"/>
                    </w:rPr>
                    <w:t>人</w:t>
                  </w:r>
                </w:p>
              </w:tc>
            </w:tr>
          </w:tbl>
          <w:p>
            <w:pPr>
              <w:rPr>
                <w:rFonts w:hint="eastAsia" w:ascii="宋体" w:hAnsi="宋体" w:eastAsia="宋体" w:cs="宋体"/>
                <w:b/>
                <w:color w:val="0000FF"/>
                <w:sz w:val="24"/>
                <w:highlight w:val="none"/>
              </w:rPr>
            </w:pPr>
          </w:p>
          <w:p>
            <w:pPr>
              <w:rPr>
                <w:rFonts w:hint="eastAsia" w:ascii="宋体" w:hAnsi="宋体" w:eastAsia="宋体" w:cs="宋体"/>
                <w:b/>
                <w:color w:val="0000FF"/>
                <w:sz w:val="24"/>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8212" w:hRule="atLeast"/>
          <w:jc w:val="center"/>
        </w:trPr>
        <w:tc>
          <w:tcPr>
            <w:tcW w:w="8946" w:type="dxa"/>
          </w:tcPr>
          <w:p>
            <w:pPr>
              <w:spacing w:line="336" w:lineRule="auto"/>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7.3评价标准</w:t>
            </w:r>
          </w:p>
          <w:p>
            <w:pPr>
              <w:spacing w:line="360" w:lineRule="auto"/>
              <w:rPr>
                <w:rFonts w:hint="eastAsia" w:ascii="宋体" w:hAnsi="宋体" w:eastAsia="宋体" w:cs="宋体"/>
                <w:b/>
                <w:color w:val="auto"/>
                <w:spacing w:val="16"/>
                <w:sz w:val="24"/>
                <w:szCs w:val="24"/>
                <w:highlight w:val="none"/>
              </w:rPr>
            </w:pPr>
            <w:r>
              <w:rPr>
                <w:rFonts w:hint="eastAsia" w:ascii="宋体" w:hAnsi="宋体" w:eastAsia="宋体" w:cs="宋体"/>
                <w:b/>
                <w:color w:val="auto"/>
                <w:spacing w:val="16"/>
                <w:sz w:val="24"/>
                <w:szCs w:val="24"/>
                <w:highlight w:val="none"/>
              </w:rPr>
              <w:t>7.3.1 剂量限值</w:t>
            </w:r>
          </w:p>
          <w:p>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《电离辐射防护与辐射源安全基本标准》(GB18871-2002)规定，工作人员的职业照射和公众照射的剂量限值如下：</w:t>
            </w:r>
          </w:p>
          <w:p>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职业照射</w:t>
            </w:r>
          </w:p>
          <w:p>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应对任何工作人员的职业照射水平进行控制，使之不超过下述限值：a)由审管部门决定的连续5年的年平均有效剂量，20mSv；b)任何一年中的有效剂量，50mSv；</w:t>
            </w:r>
          </w:p>
          <w:p>
            <w:pPr>
              <w:spacing w:line="360" w:lineRule="auto"/>
              <w:ind w:firstLine="480" w:firstLineChars="200"/>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2</w:t>
            </w:r>
            <w:r>
              <w:rPr>
                <w:rFonts w:hint="eastAsia" w:ascii="宋体" w:hAnsi="宋体" w:eastAsia="宋体" w:cs="宋体"/>
                <w:color w:val="auto"/>
                <w:sz w:val="24"/>
                <w:szCs w:val="24"/>
                <w:highlight w:val="none"/>
                <w:lang w:eastAsia="zh-CN"/>
              </w:rPr>
              <w:t>）公众照射</w:t>
            </w:r>
          </w:p>
          <w:p>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实践使公众中有关关键人群组的成员所受到的平均剂量估计值不应超过下述限值：a)年有效剂量，1mSv；b)特殊情况下，如果5个连续年的年平均剂量不超过1mSv，则某一单一年份的有效剂量可提高到5mSv。</w:t>
            </w:r>
          </w:p>
          <w:p>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3</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剂量约束值</w:t>
            </w:r>
          </w:p>
          <w:p>
            <w:pPr>
              <w:spacing w:line="360" w:lineRule="auto"/>
              <w:ind w:firstLine="480" w:firstLineChars="200"/>
              <w:rPr>
                <w:rFonts w:hint="eastAsia" w:ascii="宋体" w:hAnsi="宋体" w:eastAsia="宋体" w:cs="宋体"/>
                <w:iCs/>
                <w:color w:val="auto"/>
                <w:sz w:val="24"/>
                <w:szCs w:val="24"/>
                <w:highlight w:val="none"/>
              </w:rPr>
            </w:pPr>
            <w:r>
              <w:rPr>
                <w:rFonts w:hint="eastAsia" w:ascii="宋体" w:hAnsi="宋体" w:eastAsia="宋体" w:cs="宋体"/>
                <w:iCs/>
                <w:color w:val="auto"/>
                <w:sz w:val="24"/>
                <w:szCs w:val="24"/>
                <w:highlight w:val="none"/>
              </w:rPr>
              <w:t>11.4.3.2规定剂量约束值通常应在公众照射剂量限值10%～30%的范围之内。</w:t>
            </w:r>
          </w:p>
          <w:p>
            <w:pPr>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放射治疗辐射安全与防护要求</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HJ1198-2021</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中4.9</w:t>
            </w:r>
            <w:r>
              <w:rPr>
                <w:rFonts w:hint="eastAsia" w:ascii="宋体" w:hAnsi="宋体" w:eastAsia="宋体" w:cs="宋体"/>
                <w:color w:val="auto"/>
                <w:sz w:val="24"/>
                <w:szCs w:val="24"/>
                <w:highlight w:val="none"/>
              </w:rPr>
              <w:t>规定</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从事放射治疗的工作人员职业照射和公众照射的剂量约束值应符合以下要求：</w:t>
            </w:r>
          </w:p>
          <w:p>
            <w:pPr>
              <w:pStyle w:val="25"/>
              <w:numPr>
                <w:ilvl w:val="0"/>
                <w:numId w:val="2"/>
              </w:numPr>
              <w:spacing w:line="360" w:lineRule="auto"/>
              <w:ind w:left="480" w:leftChars="0" w:firstLine="0" w:firstLineChars="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一般情况下，从事放射治疗的工作人员职业照射的剂量约束值为</w:t>
            </w:r>
            <w:r>
              <w:rPr>
                <w:rFonts w:hint="eastAsia" w:ascii="宋体" w:hAnsi="宋体" w:eastAsia="宋体" w:cs="宋体"/>
                <w:color w:val="auto"/>
                <w:sz w:val="24"/>
                <w:szCs w:val="24"/>
                <w:highlight w:val="none"/>
              </w:rPr>
              <w:t>5mSv</w:t>
            </w:r>
            <w:r>
              <w:rPr>
                <w:rFonts w:hint="eastAsia" w:ascii="宋体" w:hAnsi="宋体" w:eastAsia="宋体" w:cs="宋体"/>
                <w:color w:val="auto"/>
                <w:sz w:val="24"/>
                <w:szCs w:val="24"/>
                <w:highlight w:val="none"/>
                <w:lang w:val="en-US" w:eastAsia="zh-CN"/>
              </w:rPr>
              <w:t>/a。</w:t>
            </w:r>
          </w:p>
          <w:p>
            <w:pPr>
              <w:numPr>
                <w:ilvl w:val="0"/>
                <w:numId w:val="2"/>
              </w:numPr>
              <w:spacing w:line="360" w:lineRule="auto"/>
              <w:ind w:left="480" w:leftChars="0" w:firstLine="0" w:firstLineChars="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公众照射的剂量约束值不超过0.1</w:t>
            </w:r>
            <w:r>
              <w:rPr>
                <w:rFonts w:hint="eastAsia" w:ascii="宋体" w:hAnsi="宋体" w:eastAsia="宋体" w:cs="宋体"/>
                <w:color w:val="auto"/>
                <w:sz w:val="24"/>
                <w:szCs w:val="24"/>
                <w:highlight w:val="none"/>
              </w:rPr>
              <w:t>mSv</w:t>
            </w:r>
            <w:r>
              <w:rPr>
                <w:rFonts w:hint="eastAsia" w:ascii="宋体" w:hAnsi="宋体" w:eastAsia="宋体" w:cs="宋体"/>
                <w:color w:val="auto"/>
                <w:sz w:val="24"/>
                <w:szCs w:val="24"/>
                <w:highlight w:val="none"/>
                <w:lang w:val="en-US" w:eastAsia="zh-CN"/>
              </w:rPr>
              <w:t>/a。</w:t>
            </w:r>
          </w:p>
          <w:p>
            <w:pPr>
              <w:pStyle w:val="25"/>
              <w:spacing w:line="360" w:lineRule="auto"/>
              <w:ind w:firstLine="480" w:firstLineChars="200"/>
              <w:rPr>
                <w:rFonts w:hint="eastAsia" w:ascii="宋体" w:hAnsi="宋体" w:eastAsia="宋体" w:cs="宋体"/>
                <w:iCs/>
                <w:color w:val="auto"/>
                <w:sz w:val="24"/>
                <w:szCs w:val="24"/>
                <w:highlight w:val="none"/>
              </w:rPr>
            </w:pPr>
            <w:r>
              <w:rPr>
                <w:rFonts w:hint="eastAsia" w:ascii="宋体" w:hAnsi="宋体" w:eastAsia="宋体" w:cs="宋体"/>
                <w:color w:val="auto"/>
                <w:sz w:val="24"/>
                <w:szCs w:val="24"/>
                <w:highlight w:val="none"/>
                <w:lang w:val="en-US" w:eastAsia="zh-CN"/>
              </w:rPr>
              <w:t>综上，本项目职业照射和公众照射的剂量约束限值见表7-2。</w:t>
            </w:r>
          </w:p>
          <w:p>
            <w:pPr>
              <w:spacing w:line="240" w:lineRule="auto"/>
              <w:ind w:firstLine="0" w:firstLineChars="0"/>
              <w:jc w:val="center"/>
              <w:rPr>
                <w:rFonts w:hint="eastAsia" w:ascii="宋体" w:hAnsi="宋体" w:eastAsia="宋体" w:cs="宋体"/>
                <w:b/>
                <w:color w:val="auto"/>
                <w:spacing w:val="16"/>
                <w:sz w:val="21"/>
                <w:szCs w:val="21"/>
                <w:highlight w:val="none"/>
              </w:rPr>
            </w:pPr>
            <w:r>
              <w:rPr>
                <w:rFonts w:hint="eastAsia" w:ascii="宋体" w:hAnsi="宋体" w:eastAsia="宋体" w:cs="宋体"/>
                <w:b/>
                <w:color w:val="auto"/>
                <w:spacing w:val="16"/>
                <w:sz w:val="21"/>
                <w:szCs w:val="21"/>
                <w:highlight w:val="none"/>
              </w:rPr>
              <w:t>表7-2 剂量约束限值</w:t>
            </w:r>
          </w:p>
          <w:tbl>
            <w:tblPr>
              <w:tblStyle w:val="18"/>
              <w:tblW w:w="4998"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387"/>
              <w:gridCol w:w="3150"/>
              <w:gridCol w:w="4190"/>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exact"/>
                <w:jc w:val="center"/>
              </w:trPr>
              <w:tc>
                <w:tcPr>
                  <w:tcW w:w="794" w:type="pct"/>
                  <w:tcBorders>
                    <w:tl2br w:val="nil"/>
                    <w:tr2bl w:val="nil"/>
                  </w:tcBorders>
                  <w:vAlign w:val="center"/>
                </w:tcPr>
                <w:p>
                  <w:pPr>
                    <w:spacing w:line="240" w:lineRule="auto"/>
                    <w:ind w:firstLine="0" w:firstLineChars="0"/>
                    <w:rPr>
                      <w:rFonts w:hint="eastAsia" w:ascii="宋体" w:hAnsi="宋体" w:eastAsia="宋体" w:cs="宋体"/>
                      <w:b w:val="0"/>
                      <w:bCs/>
                      <w:color w:val="auto"/>
                      <w:spacing w:val="16"/>
                      <w:sz w:val="21"/>
                      <w:szCs w:val="21"/>
                      <w:highlight w:val="none"/>
                    </w:rPr>
                  </w:pPr>
                  <w:r>
                    <w:rPr>
                      <w:rFonts w:hint="eastAsia" w:ascii="宋体" w:hAnsi="宋体" w:eastAsia="宋体" w:cs="宋体"/>
                      <w:b w:val="0"/>
                      <w:bCs/>
                      <w:color w:val="auto"/>
                      <w:spacing w:val="16"/>
                      <w:sz w:val="21"/>
                      <w:szCs w:val="21"/>
                      <w:highlight w:val="none"/>
                    </w:rPr>
                    <w:t>照射类别</w:t>
                  </w:r>
                </w:p>
              </w:tc>
              <w:tc>
                <w:tcPr>
                  <w:tcW w:w="1804" w:type="pct"/>
                  <w:tcBorders>
                    <w:tl2br w:val="nil"/>
                    <w:tr2bl w:val="nil"/>
                  </w:tcBorders>
                  <w:vAlign w:val="center"/>
                </w:tcPr>
                <w:p>
                  <w:pPr>
                    <w:spacing w:line="240" w:lineRule="auto"/>
                    <w:ind w:firstLine="0" w:firstLineChars="0"/>
                    <w:jc w:val="center"/>
                    <w:rPr>
                      <w:rFonts w:hint="eastAsia" w:ascii="宋体" w:hAnsi="宋体" w:eastAsia="宋体" w:cs="宋体"/>
                      <w:b w:val="0"/>
                      <w:bCs/>
                      <w:color w:val="auto"/>
                      <w:spacing w:val="16"/>
                      <w:sz w:val="21"/>
                      <w:szCs w:val="21"/>
                      <w:highlight w:val="none"/>
                    </w:rPr>
                  </w:pPr>
                  <w:r>
                    <w:rPr>
                      <w:rFonts w:hint="eastAsia" w:ascii="宋体" w:hAnsi="宋体" w:eastAsia="宋体" w:cs="宋体"/>
                      <w:b w:val="0"/>
                      <w:bCs/>
                      <w:color w:val="auto"/>
                      <w:spacing w:val="16"/>
                      <w:sz w:val="21"/>
                      <w:szCs w:val="21"/>
                      <w:highlight w:val="none"/>
                    </w:rPr>
                    <w:t>本评价的剂量约束值</w:t>
                  </w:r>
                </w:p>
              </w:tc>
              <w:tc>
                <w:tcPr>
                  <w:tcW w:w="2400" w:type="pct"/>
                  <w:tcBorders>
                    <w:tl2br w:val="nil"/>
                    <w:tr2bl w:val="nil"/>
                  </w:tcBorders>
                  <w:vAlign w:val="center"/>
                </w:tcPr>
                <w:p>
                  <w:pPr>
                    <w:spacing w:line="240" w:lineRule="auto"/>
                    <w:ind w:firstLine="0" w:firstLineChars="0"/>
                    <w:jc w:val="center"/>
                    <w:rPr>
                      <w:rFonts w:hint="eastAsia" w:ascii="宋体" w:hAnsi="宋体" w:eastAsia="宋体" w:cs="宋体"/>
                      <w:b w:val="0"/>
                      <w:bCs/>
                      <w:color w:val="auto"/>
                      <w:spacing w:val="16"/>
                      <w:sz w:val="21"/>
                      <w:szCs w:val="21"/>
                      <w:highlight w:val="none"/>
                    </w:rPr>
                  </w:pPr>
                  <w:r>
                    <w:rPr>
                      <w:rFonts w:hint="eastAsia" w:ascii="宋体" w:hAnsi="宋体" w:eastAsia="宋体" w:cs="宋体"/>
                      <w:b w:val="0"/>
                      <w:bCs/>
                      <w:color w:val="auto"/>
                      <w:spacing w:val="16"/>
                      <w:sz w:val="21"/>
                      <w:szCs w:val="21"/>
                      <w:highlight w:val="none"/>
                    </w:rPr>
                    <w:t>备注</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exact"/>
                <w:jc w:val="center"/>
              </w:trPr>
              <w:tc>
                <w:tcPr>
                  <w:tcW w:w="794" w:type="pct"/>
                  <w:tcBorders>
                    <w:tl2br w:val="nil"/>
                    <w:tr2bl w:val="nil"/>
                  </w:tcBorders>
                  <w:vAlign w:val="center"/>
                </w:tcPr>
                <w:p>
                  <w:pPr>
                    <w:spacing w:line="240" w:lineRule="auto"/>
                    <w:ind w:firstLine="0" w:firstLineChars="0"/>
                    <w:jc w:val="center"/>
                    <w:rPr>
                      <w:rFonts w:hint="eastAsia" w:ascii="宋体" w:hAnsi="宋体" w:eastAsia="宋体" w:cs="宋体"/>
                      <w:color w:val="auto"/>
                      <w:spacing w:val="16"/>
                      <w:sz w:val="21"/>
                      <w:szCs w:val="21"/>
                      <w:highlight w:val="none"/>
                    </w:rPr>
                  </w:pPr>
                  <w:r>
                    <w:rPr>
                      <w:rFonts w:hint="eastAsia" w:ascii="宋体" w:hAnsi="宋体" w:eastAsia="宋体" w:cs="宋体"/>
                      <w:color w:val="auto"/>
                      <w:spacing w:val="16"/>
                      <w:sz w:val="21"/>
                      <w:szCs w:val="21"/>
                      <w:highlight w:val="none"/>
                    </w:rPr>
                    <w:t>职业照射</w:t>
                  </w:r>
                </w:p>
              </w:tc>
              <w:tc>
                <w:tcPr>
                  <w:tcW w:w="1804" w:type="pct"/>
                  <w:tcBorders>
                    <w:tl2br w:val="nil"/>
                    <w:tr2bl w:val="nil"/>
                  </w:tcBorders>
                  <w:vAlign w:val="center"/>
                </w:tcPr>
                <w:p>
                  <w:pPr>
                    <w:spacing w:line="240" w:lineRule="auto"/>
                    <w:ind w:firstLine="0" w:firstLineChars="0"/>
                    <w:jc w:val="center"/>
                    <w:rPr>
                      <w:rFonts w:hint="eastAsia" w:ascii="宋体" w:hAnsi="宋体" w:eastAsia="宋体" w:cs="宋体"/>
                      <w:color w:val="auto"/>
                      <w:spacing w:val="16"/>
                      <w:sz w:val="21"/>
                      <w:szCs w:val="21"/>
                      <w:highlight w:val="none"/>
                    </w:rPr>
                  </w:pPr>
                  <w:r>
                    <w:rPr>
                      <w:rFonts w:hint="eastAsia" w:ascii="宋体" w:hAnsi="宋体" w:eastAsia="宋体" w:cs="宋体"/>
                      <w:color w:val="auto"/>
                      <w:spacing w:val="16"/>
                      <w:sz w:val="21"/>
                      <w:szCs w:val="21"/>
                      <w:highlight w:val="none"/>
                    </w:rPr>
                    <w:t>5mSv</w:t>
                  </w:r>
                </w:p>
              </w:tc>
              <w:tc>
                <w:tcPr>
                  <w:tcW w:w="2400" w:type="pct"/>
                  <w:vMerge w:val="restart"/>
                  <w:tcBorders>
                    <w:tl2br w:val="nil"/>
                    <w:tr2bl w:val="nil"/>
                  </w:tcBorders>
                  <w:vAlign w:val="center"/>
                </w:tcPr>
                <w:p>
                  <w:pPr>
                    <w:spacing w:line="240" w:lineRule="auto"/>
                    <w:ind w:firstLine="0" w:firstLineChars="0"/>
                    <w:jc w:val="center"/>
                    <w:rPr>
                      <w:rFonts w:hint="eastAsia" w:ascii="宋体" w:hAnsi="宋体" w:eastAsia="宋体" w:cs="宋体"/>
                      <w:color w:val="auto"/>
                      <w:spacing w:val="16"/>
                      <w:sz w:val="21"/>
                      <w:szCs w:val="21"/>
                      <w:highlight w:val="none"/>
                    </w:rPr>
                  </w:pPr>
                  <w:r>
                    <w:rPr>
                      <w:rFonts w:hint="eastAsia" w:ascii="宋体" w:hAnsi="宋体" w:eastAsia="宋体" w:cs="宋体"/>
                      <w:color w:val="auto"/>
                      <w:sz w:val="21"/>
                      <w:szCs w:val="21"/>
                      <w:highlight w:val="none"/>
                      <w:lang w:val="en-US" w:eastAsia="zh-CN"/>
                    </w:rPr>
                    <w:t>《电离辐射防护与辐射源安全基本标准》(GB18871-2002)与</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放射治疗辐射安全与防护要求</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HJ1198-2021</w:t>
                  </w:r>
                  <w:r>
                    <w:rPr>
                      <w:rFonts w:hint="eastAsia" w:ascii="宋体" w:hAnsi="宋体" w:eastAsia="宋体" w:cs="宋体"/>
                      <w:color w:val="auto"/>
                      <w:sz w:val="21"/>
                      <w:szCs w:val="21"/>
                      <w:highlight w:val="none"/>
                      <w:lang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exact"/>
                <w:jc w:val="center"/>
              </w:trPr>
              <w:tc>
                <w:tcPr>
                  <w:tcW w:w="794" w:type="pct"/>
                  <w:tcBorders>
                    <w:tl2br w:val="nil"/>
                    <w:tr2bl w:val="nil"/>
                  </w:tcBorders>
                  <w:vAlign w:val="center"/>
                </w:tcPr>
                <w:p>
                  <w:pPr>
                    <w:spacing w:line="240" w:lineRule="auto"/>
                    <w:ind w:firstLine="0" w:firstLineChars="0"/>
                    <w:jc w:val="center"/>
                    <w:rPr>
                      <w:rFonts w:hint="eastAsia" w:ascii="宋体" w:hAnsi="宋体" w:eastAsia="宋体" w:cs="宋体"/>
                      <w:color w:val="auto"/>
                      <w:spacing w:val="16"/>
                      <w:sz w:val="21"/>
                      <w:szCs w:val="21"/>
                      <w:highlight w:val="none"/>
                    </w:rPr>
                  </w:pPr>
                  <w:r>
                    <w:rPr>
                      <w:rFonts w:hint="eastAsia" w:ascii="宋体" w:hAnsi="宋体" w:eastAsia="宋体" w:cs="宋体"/>
                      <w:color w:val="auto"/>
                      <w:spacing w:val="16"/>
                      <w:sz w:val="21"/>
                      <w:szCs w:val="21"/>
                      <w:highlight w:val="none"/>
                    </w:rPr>
                    <w:t>公众照射</w:t>
                  </w:r>
                </w:p>
              </w:tc>
              <w:tc>
                <w:tcPr>
                  <w:tcW w:w="1804" w:type="pct"/>
                  <w:tcBorders>
                    <w:tl2br w:val="nil"/>
                    <w:tr2bl w:val="nil"/>
                  </w:tcBorders>
                  <w:vAlign w:val="center"/>
                </w:tcPr>
                <w:p>
                  <w:pPr>
                    <w:spacing w:line="240" w:lineRule="auto"/>
                    <w:ind w:firstLine="0" w:firstLineChars="0"/>
                    <w:jc w:val="center"/>
                    <w:rPr>
                      <w:rFonts w:hint="eastAsia" w:ascii="宋体" w:hAnsi="宋体" w:eastAsia="宋体" w:cs="宋体"/>
                      <w:color w:val="auto"/>
                      <w:spacing w:val="16"/>
                      <w:sz w:val="21"/>
                      <w:szCs w:val="21"/>
                      <w:highlight w:val="none"/>
                    </w:rPr>
                  </w:pPr>
                  <w:r>
                    <w:rPr>
                      <w:rFonts w:hint="eastAsia" w:ascii="宋体" w:hAnsi="宋体" w:eastAsia="宋体" w:cs="宋体"/>
                      <w:color w:val="auto"/>
                      <w:spacing w:val="16"/>
                      <w:sz w:val="21"/>
                      <w:szCs w:val="21"/>
                      <w:highlight w:val="none"/>
                    </w:rPr>
                    <w:t>0.</w:t>
                  </w:r>
                  <w:r>
                    <w:rPr>
                      <w:rFonts w:hint="eastAsia" w:ascii="宋体" w:hAnsi="宋体" w:eastAsia="宋体" w:cs="宋体"/>
                      <w:color w:val="auto"/>
                      <w:spacing w:val="16"/>
                      <w:sz w:val="21"/>
                      <w:szCs w:val="21"/>
                      <w:highlight w:val="none"/>
                      <w:lang w:val="en-US" w:eastAsia="zh-CN"/>
                    </w:rPr>
                    <w:t>1</w:t>
                  </w:r>
                  <w:r>
                    <w:rPr>
                      <w:rFonts w:hint="eastAsia" w:ascii="宋体" w:hAnsi="宋体" w:eastAsia="宋体" w:cs="宋体"/>
                      <w:color w:val="auto"/>
                      <w:spacing w:val="16"/>
                      <w:sz w:val="21"/>
                      <w:szCs w:val="21"/>
                      <w:highlight w:val="none"/>
                    </w:rPr>
                    <w:t>mSv</w:t>
                  </w:r>
                </w:p>
              </w:tc>
              <w:tc>
                <w:tcPr>
                  <w:tcW w:w="2400" w:type="pct"/>
                  <w:vMerge w:val="continue"/>
                  <w:tcBorders>
                    <w:tl2br w:val="nil"/>
                    <w:tr2bl w:val="nil"/>
                  </w:tcBorders>
                  <w:vAlign w:val="center"/>
                </w:tcPr>
                <w:p>
                  <w:pPr>
                    <w:spacing w:line="240" w:lineRule="auto"/>
                    <w:ind w:firstLine="0" w:firstLineChars="0"/>
                    <w:rPr>
                      <w:rFonts w:hint="eastAsia" w:ascii="宋体" w:hAnsi="宋体" w:eastAsia="宋体" w:cs="宋体"/>
                      <w:color w:val="auto"/>
                      <w:spacing w:val="16"/>
                      <w:sz w:val="21"/>
                      <w:szCs w:val="21"/>
                      <w:highlight w:val="none"/>
                    </w:rPr>
                  </w:pPr>
                </w:p>
              </w:tc>
            </w:tr>
          </w:tbl>
          <w:p>
            <w:pPr>
              <w:spacing w:line="360" w:lineRule="auto"/>
              <w:rPr>
                <w:rFonts w:hint="eastAsia" w:ascii="宋体" w:hAnsi="宋体" w:eastAsia="宋体" w:cs="宋体"/>
                <w:b/>
                <w:color w:val="auto"/>
                <w:spacing w:val="16"/>
                <w:sz w:val="24"/>
                <w:highlight w:val="none"/>
              </w:rPr>
            </w:pPr>
            <w:r>
              <w:rPr>
                <w:rFonts w:hint="eastAsia" w:ascii="宋体" w:hAnsi="宋体" w:eastAsia="宋体" w:cs="宋体"/>
                <w:b/>
                <w:color w:val="auto"/>
                <w:spacing w:val="16"/>
                <w:sz w:val="24"/>
                <w:highlight w:val="none"/>
              </w:rPr>
              <w:t>7.3.2 直线加速器机房防护</w:t>
            </w:r>
          </w:p>
          <w:p>
            <w:pPr>
              <w:spacing w:line="360" w:lineRule="auto"/>
              <w:ind w:firstLine="240" w:firstLineChars="100"/>
              <w:rPr>
                <w:rFonts w:hint="eastAsia" w:ascii="宋体" w:hAnsi="宋体" w:eastAsia="宋体" w:cs="宋体"/>
                <w:color w:val="auto"/>
                <w:sz w:val="24"/>
                <w:highlight w:val="none"/>
                <w:lang w:val="en-US"/>
              </w:rPr>
            </w:pPr>
            <w:r>
              <w:rPr>
                <w:rFonts w:hint="eastAsia" w:ascii="宋体" w:hAnsi="宋体" w:eastAsia="宋体" w:cs="宋体"/>
                <w:color w:val="auto"/>
                <w:sz w:val="24"/>
                <w:highlight w:val="none"/>
              </w:rPr>
              <w:t>（1）</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放射治疗辐射安全与防护要求</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HJ1198-2021</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中规定：</w:t>
            </w:r>
          </w:p>
          <w:p>
            <w:pPr>
              <w:pStyle w:val="25"/>
              <w:spacing w:line="360" w:lineRule="auto"/>
              <w:ind w:firstLine="48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5.1 选址与布局</w:t>
            </w:r>
          </w:p>
          <w:p>
            <w:pPr>
              <w:spacing w:line="360" w:lineRule="auto"/>
              <w:ind w:firstLine="48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5.1.1 放射治疗场所的选址应充分考虑其对周边环境的辐射影响，不得设置在民居、写字楼和商住两用的建筑物内。</w:t>
            </w:r>
          </w:p>
          <w:p>
            <w:pPr>
              <w:pStyle w:val="25"/>
              <w:spacing w:line="360" w:lineRule="auto"/>
              <w:ind w:firstLine="48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5.1.2 放射治疗场所宜单独选址、集中建设，或设置在多层建筑物的底层的一端，尽量避开儿科病房、产房等特殊人群及人员密集区域，或人员流动性大的商业活动区域。</w:t>
            </w:r>
          </w:p>
          <w:p>
            <w:pPr>
              <w:spacing w:line="360" w:lineRule="auto"/>
              <w:ind w:firstLine="42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5.2 分区原则</w:t>
            </w:r>
          </w:p>
          <w:p>
            <w:pPr>
              <w:pStyle w:val="25"/>
              <w:spacing w:line="360" w:lineRule="auto"/>
              <w:ind w:firstLine="42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5.2.1放射治疗场所应划分控制区和监督区。一般情况下，控制区包括加速器大厅、治疗室（含迷路）等场所，如质子/重离子加速器大厅、束流输运通道和治疗室、直线加速器机房、含源装置的治疗室、放射性废物暂存区域等。开展术中放射治疗时，术中放射治疗室应确定为临时控制区。</w:t>
            </w:r>
          </w:p>
          <w:p>
            <w:pPr>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5.2.2与控制区相邻的、不需要采取专门防护手段和安全控制措施，但需要经常对职业照射条件进行监督和评价的区域划定为监督区（如直线加速器治疗室相邻的控制室及与机房相邻区域等）。</w:t>
            </w:r>
          </w:p>
          <w:p>
            <w:pPr>
              <w:pStyle w:val="25"/>
              <w:spacing w:line="360" w:lineRule="auto"/>
              <w:ind w:firstLine="42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6.1 屏蔽要求</w:t>
            </w:r>
          </w:p>
          <w:p>
            <w:pPr>
              <w:pStyle w:val="25"/>
              <w:spacing w:line="360" w:lineRule="auto"/>
              <w:ind w:firstLine="42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6.1.1 放射治疗室屏蔽设计应按照而定最大能量、最大剂量率、最大工作负荷、最大照射野等条件和参数进行计算，同时应充分考虑所有初、次级辐射对治疗室临近场所中驻留人员的照射。</w:t>
            </w:r>
          </w:p>
          <w:p>
            <w:pPr>
              <w:spacing w:line="360" w:lineRule="auto"/>
              <w:ind w:firstLine="480"/>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6.1.2 放射治疗室屏蔽材料的选择应考虑其结构性能、防护性能，符合最优化要求。使用中子源放射治疗设备、质子/重离子加速器或大于10MV的X射线放射治疗设备，须考虑中子屏蔽。</w:t>
            </w:r>
          </w:p>
          <w:p>
            <w:pPr>
              <w:pStyle w:val="25"/>
              <w:spacing w:line="360" w:lineRule="auto"/>
              <w:ind w:firstLine="480"/>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6.1.3 管线穿越屏蔽体时应采取不影响其屏蔽效果的方式，并进行屏蔽补偿。应充分考虑防护门与墙的搭接，确保满足屏蔽体外的辐射防护要求。</w:t>
            </w:r>
          </w:p>
          <w:p>
            <w:pPr>
              <w:pStyle w:val="25"/>
              <w:spacing w:line="360" w:lineRule="auto"/>
              <w:ind w:firstLine="480" w:firstLineChars="200"/>
              <w:rPr>
                <w:rFonts w:hint="eastAsia" w:ascii="宋体" w:hAnsi="宋体" w:eastAsia="宋体" w:cs="宋体"/>
                <w:color w:val="auto"/>
                <w:highlight w:val="none"/>
                <w:lang w:val="en-US" w:eastAsia="zh-CN"/>
              </w:rPr>
            </w:pPr>
            <w:r>
              <w:rPr>
                <w:rFonts w:hint="eastAsia" w:ascii="宋体" w:hAnsi="宋体" w:eastAsia="宋体" w:cs="宋体"/>
                <w:color w:val="auto"/>
                <w:kern w:val="0"/>
                <w:sz w:val="24"/>
                <w:szCs w:val="24"/>
                <w:highlight w:val="none"/>
                <w:lang w:val="en-US" w:eastAsia="zh-CN" w:bidi="ar-SA"/>
              </w:rPr>
              <w:t>6.1.4 剂量控制应符合以下要求：</w:t>
            </w:r>
          </w:p>
          <w:p>
            <w:pPr>
              <w:spacing w:line="360" w:lineRule="auto"/>
              <w:ind w:firstLine="480" w:firstLineChars="200"/>
              <w:rPr>
                <w:rFonts w:hint="eastAsia" w:ascii="宋体" w:hAnsi="宋体" w:eastAsia="宋体" w:cs="宋体"/>
                <w:color w:val="auto"/>
                <w:sz w:val="24"/>
                <w:highlight w:val="none"/>
                <w:vertAlign w:val="baseline"/>
                <w:lang w:val="en-US" w:eastAsia="zh-CN"/>
              </w:rPr>
            </w:pPr>
            <w:r>
              <w:rPr>
                <w:rFonts w:hint="eastAsia" w:ascii="宋体" w:hAnsi="宋体" w:eastAsia="宋体" w:cs="宋体"/>
                <w:color w:val="auto"/>
                <w:kern w:val="0"/>
                <w:sz w:val="24"/>
                <w:szCs w:val="24"/>
                <w:highlight w:val="none"/>
                <w:lang w:val="en-US" w:eastAsia="zh-CN" w:bidi="ar-SA"/>
              </w:rPr>
              <w:t>a）治疗室墙和入口门外表面30cm处、临近治疗室的关注点、治疗室房顶外的地面附近和楼层及在治疗室上方已建、拟建二层建筑物或在治疗室旁临近建筑物的高度超过自辐射源点治疗室房顶内表面边缘所张立体角区域时，距治疗室顶外表面30cm处和在该立体角区域内的高层建筑人员驻留处的周围剂量当量率应同时满足下列1）、2）所确定的剂量率参考控制水平</w:t>
            </w:r>
            <w:r>
              <w:rPr>
                <w:rFonts w:hint="eastAsia" w:ascii="宋体" w:hAnsi="宋体" w:eastAsia="宋体" w:cs="宋体"/>
                <w:color w:val="auto"/>
                <w:sz w:val="24"/>
                <w:highlight w:val="none"/>
                <w:lang w:val="en-US" w:eastAsia="zh-CN"/>
              </w:rPr>
              <w:fldChar w:fldCharType="begin"/>
            </w:r>
            <w:r>
              <w:rPr>
                <w:rFonts w:hint="eastAsia" w:ascii="宋体" w:hAnsi="宋体" w:eastAsia="宋体" w:cs="宋体"/>
                <w:color w:val="auto"/>
                <w:sz w:val="24"/>
                <w:highlight w:val="none"/>
                <w:lang w:val="en-US" w:eastAsia="zh-CN"/>
              </w:rPr>
              <w:instrText xml:space="preserve"> EQ \* jc0 \* "Font:宋体" \* hps12 \o \ad(\s \up 11(。),H)</w:instrText>
            </w:r>
            <w:r>
              <w:rPr>
                <w:rFonts w:hint="eastAsia" w:ascii="宋体" w:hAnsi="宋体" w:eastAsia="宋体" w:cs="宋体"/>
                <w:color w:val="auto"/>
                <w:sz w:val="24"/>
                <w:highlight w:val="none"/>
                <w:lang w:val="en-US" w:eastAsia="zh-CN"/>
              </w:rPr>
              <w:fldChar w:fldCharType="end"/>
            </w:r>
            <w:r>
              <w:rPr>
                <w:rFonts w:hint="eastAsia" w:ascii="宋体" w:hAnsi="宋体" w:eastAsia="宋体" w:cs="宋体"/>
                <w:color w:val="auto"/>
                <w:sz w:val="24"/>
                <w:highlight w:val="none"/>
                <w:vertAlign w:val="subscript"/>
                <w:lang w:val="en-US" w:eastAsia="zh-CN"/>
              </w:rPr>
              <w:t>c</w:t>
            </w:r>
            <w:r>
              <w:rPr>
                <w:rFonts w:hint="eastAsia" w:ascii="宋体" w:hAnsi="宋体" w:eastAsia="宋体" w:cs="宋体"/>
                <w:color w:val="auto"/>
                <w:sz w:val="24"/>
                <w:highlight w:val="none"/>
                <w:vertAlign w:val="baseline"/>
                <w:lang w:val="en-US" w:eastAsia="zh-CN"/>
              </w:rPr>
              <w:t>：</w:t>
            </w:r>
          </w:p>
          <w:p>
            <w:pPr>
              <w:pStyle w:val="25"/>
              <w:spacing w:line="360" w:lineRule="auto"/>
              <w:ind w:firstLine="480" w:firstLineChars="200"/>
              <w:rPr>
                <w:rFonts w:hint="eastAsia" w:ascii="宋体" w:hAnsi="宋体" w:eastAsia="宋体" w:cs="宋体"/>
                <w:color w:val="auto"/>
                <w:highlight w:val="none"/>
                <w:vertAlign w:val="baseline"/>
                <w:lang w:val="en-US" w:eastAsia="zh-CN"/>
              </w:rPr>
            </w:pPr>
            <w:r>
              <w:rPr>
                <w:rFonts w:hint="eastAsia" w:ascii="宋体" w:hAnsi="宋体" w:eastAsia="宋体" w:cs="宋体"/>
                <w:color w:val="auto"/>
                <w:highlight w:val="none"/>
                <w:lang w:val="en-US" w:eastAsia="zh-CN"/>
              </w:rPr>
              <w:t>1）使用放射治疗周工作符合、关注点位置的使用因子和居留因子，由以下周剂量参考控制水平（</w:t>
            </w:r>
            <w:r>
              <w:rPr>
                <w:rFonts w:hint="eastAsia" w:ascii="宋体" w:hAnsi="宋体" w:eastAsia="宋体" w:cs="宋体"/>
                <w:color w:val="auto"/>
                <w:sz w:val="24"/>
                <w:highlight w:val="none"/>
                <w:lang w:val="en-US" w:eastAsia="zh-CN"/>
              </w:rPr>
              <w:fldChar w:fldCharType="begin"/>
            </w:r>
            <w:r>
              <w:rPr>
                <w:rFonts w:hint="eastAsia" w:ascii="宋体" w:hAnsi="宋体" w:eastAsia="宋体" w:cs="宋体"/>
                <w:color w:val="auto"/>
                <w:sz w:val="24"/>
                <w:highlight w:val="none"/>
                <w:lang w:val="en-US" w:eastAsia="zh-CN"/>
              </w:rPr>
              <w:instrText xml:space="preserve"> EQ \* jc0 \* "Font:宋体" \* hps12 \o \ad(\s \up 11(。),H)</w:instrText>
            </w:r>
            <w:r>
              <w:rPr>
                <w:rFonts w:hint="eastAsia" w:ascii="宋体" w:hAnsi="宋体" w:eastAsia="宋体" w:cs="宋体"/>
                <w:color w:val="auto"/>
                <w:sz w:val="24"/>
                <w:highlight w:val="none"/>
                <w:lang w:val="en-US" w:eastAsia="zh-CN"/>
              </w:rPr>
              <w:fldChar w:fldCharType="end"/>
            </w:r>
            <w:r>
              <w:rPr>
                <w:rFonts w:hint="eastAsia" w:ascii="宋体" w:hAnsi="宋体" w:eastAsia="宋体" w:cs="宋体"/>
                <w:color w:val="auto"/>
                <w:sz w:val="24"/>
                <w:highlight w:val="none"/>
                <w:vertAlign w:val="subscript"/>
                <w:lang w:val="en-US" w:eastAsia="zh-CN"/>
              </w:rPr>
              <w:t>c</w:t>
            </w:r>
            <w:r>
              <w:rPr>
                <w:rFonts w:hint="eastAsia" w:ascii="宋体" w:hAnsi="宋体" w:eastAsia="宋体" w:cs="宋体"/>
                <w:color w:val="auto"/>
                <w:highlight w:val="none"/>
                <w:lang w:val="en-US" w:eastAsia="zh-CN"/>
              </w:rPr>
              <w:t>）求得关注点的导出剂量率参考控制水平</w:t>
            </w:r>
            <w:r>
              <w:rPr>
                <w:rFonts w:hint="eastAsia" w:ascii="宋体" w:hAnsi="宋体" w:eastAsia="宋体" w:cs="宋体"/>
                <w:color w:val="auto"/>
                <w:sz w:val="24"/>
                <w:highlight w:val="none"/>
                <w:lang w:val="en-US" w:eastAsia="zh-CN"/>
              </w:rPr>
              <w:fldChar w:fldCharType="begin"/>
            </w:r>
            <w:r>
              <w:rPr>
                <w:rFonts w:hint="eastAsia" w:ascii="宋体" w:hAnsi="宋体" w:eastAsia="宋体" w:cs="宋体"/>
                <w:color w:val="auto"/>
                <w:sz w:val="24"/>
                <w:highlight w:val="none"/>
                <w:lang w:val="en-US" w:eastAsia="zh-CN"/>
              </w:rPr>
              <w:instrText xml:space="preserve"> EQ \* jc0 \* "Font:宋体" \* hps12 \o \ad(\s \up 11(。),H)</w:instrText>
            </w:r>
            <w:r>
              <w:rPr>
                <w:rFonts w:hint="eastAsia" w:ascii="宋体" w:hAnsi="宋体" w:eastAsia="宋体" w:cs="宋体"/>
                <w:color w:val="auto"/>
                <w:sz w:val="24"/>
                <w:highlight w:val="none"/>
                <w:lang w:val="en-US" w:eastAsia="zh-CN"/>
              </w:rPr>
              <w:fldChar w:fldCharType="end"/>
            </w:r>
            <w:r>
              <w:rPr>
                <w:rFonts w:hint="eastAsia" w:ascii="宋体" w:hAnsi="宋体" w:eastAsia="宋体" w:cs="宋体"/>
                <w:color w:val="auto"/>
                <w:sz w:val="24"/>
                <w:highlight w:val="none"/>
                <w:vertAlign w:val="subscript"/>
                <w:lang w:val="en-US" w:eastAsia="zh-CN"/>
              </w:rPr>
              <w:t>c，d</w:t>
            </w:r>
            <w:r>
              <w:rPr>
                <w:rFonts w:hint="eastAsia" w:ascii="宋体" w:hAnsi="宋体" w:eastAsia="宋体" w:cs="宋体"/>
                <w:color w:val="auto"/>
                <w:sz w:val="24"/>
                <w:highlight w:val="none"/>
                <w:vertAlign w:val="baseline"/>
                <w:lang w:val="en-US" w:eastAsia="zh-CN"/>
              </w:rPr>
              <w:t>（μSv/h）：</w:t>
            </w:r>
          </w:p>
          <w:p>
            <w:pPr>
              <w:pStyle w:val="25"/>
              <w:spacing w:line="360" w:lineRule="auto"/>
              <w:ind w:firstLine="480"/>
              <w:rPr>
                <w:rFonts w:hint="eastAsia" w:ascii="宋体" w:hAnsi="宋体" w:eastAsia="宋体" w:cs="宋体"/>
                <w:color w:val="auto"/>
                <w:sz w:val="24"/>
                <w:szCs w:val="24"/>
                <w:highlight w:val="none"/>
                <w:vertAlign w:val="baseline"/>
                <w:lang w:val="en-US" w:eastAsia="zh-CN"/>
              </w:rPr>
            </w:pPr>
            <w:r>
              <w:rPr>
                <w:rFonts w:hint="eastAsia" w:ascii="宋体" w:hAnsi="宋体" w:eastAsia="宋体" w:cs="宋体"/>
                <w:color w:val="auto"/>
                <w:sz w:val="24"/>
                <w:szCs w:val="24"/>
                <w:highlight w:val="none"/>
                <w:lang w:val="en-US" w:eastAsia="zh-CN"/>
              </w:rPr>
              <w:t>机房外辐射工作人员：</w:t>
            </w:r>
            <w:r>
              <w:rPr>
                <w:rFonts w:hint="eastAsia" w:ascii="宋体" w:hAnsi="宋体" w:eastAsia="宋体" w:cs="宋体"/>
                <w:color w:val="auto"/>
                <w:sz w:val="24"/>
                <w:szCs w:val="24"/>
                <w:highlight w:val="none"/>
                <w:lang w:val="en-US" w:eastAsia="zh-CN"/>
              </w:rPr>
              <w:fldChar w:fldCharType="begin"/>
            </w:r>
            <w:r>
              <w:rPr>
                <w:rFonts w:hint="eastAsia" w:ascii="宋体" w:hAnsi="宋体" w:eastAsia="宋体" w:cs="宋体"/>
                <w:color w:val="auto"/>
                <w:sz w:val="24"/>
                <w:szCs w:val="24"/>
                <w:highlight w:val="none"/>
                <w:lang w:val="en-US" w:eastAsia="zh-CN"/>
              </w:rPr>
              <w:instrText xml:space="preserve"> EQ \* jc0 \* "Font:宋体" \* hps12 \o \ad(\s \up 11(。),H)</w:instrText>
            </w:r>
            <w:r>
              <w:rPr>
                <w:rFonts w:hint="eastAsia" w:ascii="宋体" w:hAnsi="宋体" w:eastAsia="宋体" w:cs="宋体"/>
                <w:color w:val="auto"/>
                <w:sz w:val="24"/>
                <w:szCs w:val="24"/>
                <w:highlight w:val="none"/>
                <w:lang w:val="en-US" w:eastAsia="zh-CN"/>
              </w:rPr>
              <w:fldChar w:fldCharType="end"/>
            </w:r>
            <w:r>
              <w:rPr>
                <w:rFonts w:hint="eastAsia" w:ascii="宋体" w:hAnsi="宋体" w:eastAsia="宋体" w:cs="宋体"/>
                <w:color w:val="auto"/>
                <w:sz w:val="24"/>
                <w:szCs w:val="24"/>
                <w:highlight w:val="none"/>
                <w:vertAlign w:val="subscript"/>
                <w:lang w:val="en-US" w:eastAsia="zh-CN"/>
              </w:rPr>
              <w:t>c</w:t>
            </w:r>
            <w:r>
              <w:rPr>
                <w:rFonts w:hint="eastAsia" w:ascii="宋体" w:hAnsi="宋体" w:eastAsia="宋体" w:cs="宋体"/>
                <w:color w:val="auto"/>
                <w:sz w:val="24"/>
                <w:szCs w:val="24"/>
                <w:highlight w:val="none"/>
                <w:vertAlign w:val="baseline"/>
                <w:lang w:val="en-US" w:eastAsia="zh-CN"/>
              </w:rPr>
              <w:t>≤100μSv/周；</w:t>
            </w:r>
          </w:p>
          <w:p>
            <w:pPr>
              <w:spacing w:line="360" w:lineRule="auto"/>
              <w:ind w:firstLine="48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机房外非辐射工作人员：</w:t>
            </w:r>
            <w:r>
              <w:rPr>
                <w:rFonts w:hint="eastAsia" w:ascii="宋体" w:hAnsi="宋体" w:eastAsia="宋体" w:cs="宋体"/>
                <w:color w:val="auto"/>
                <w:sz w:val="24"/>
                <w:szCs w:val="24"/>
                <w:highlight w:val="none"/>
                <w:lang w:val="en-US" w:eastAsia="zh-CN"/>
              </w:rPr>
              <w:fldChar w:fldCharType="begin"/>
            </w:r>
            <w:r>
              <w:rPr>
                <w:rFonts w:hint="eastAsia" w:ascii="宋体" w:hAnsi="宋体" w:eastAsia="宋体" w:cs="宋体"/>
                <w:color w:val="auto"/>
                <w:sz w:val="24"/>
                <w:szCs w:val="24"/>
                <w:highlight w:val="none"/>
                <w:lang w:val="en-US" w:eastAsia="zh-CN"/>
              </w:rPr>
              <w:instrText xml:space="preserve"> EQ \* jc0 \* "Font:宋体" \* hps12 \o \ad(\s \up 11(。),H)</w:instrText>
            </w:r>
            <w:r>
              <w:rPr>
                <w:rFonts w:hint="eastAsia" w:ascii="宋体" w:hAnsi="宋体" w:eastAsia="宋体" w:cs="宋体"/>
                <w:color w:val="auto"/>
                <w:sz w:val="24"/>
                <w:szCs w:val="24"/>
                <w:highlight w:val="none"/>
                <w:lang w:val="en-US" w:eastAsia="zh-CN"/>
              </w:rPr>
              <w:fldChar w:fldCharType="end"/>
            </w:r>
            <w:r>
              <w:rPr>
                <w:rFonts w:hint="eastAsia" w:ascii="宋体" w:hAnsi="宋体" w:eastAsia="宋体" w:cs="宋体"/>
                <w:color w:val="auto"/>
                <w:sz w:val="24"/>
                <w:szCs w:val="24"/>
                <w:highlight w:val="none"/>
                <w:vertAlign w:val="subscript"/>
                <w:lang w:val="en-US" w:eastAsia="zh-CN"/>
              </w:rPr>
              <w:t>c</w:t>
            </w:r>
            <w:r>
              <w:rPr>
                <w:rFonts w:hint="eastAsia" w:ascii="宋体" w:hAnsi="宋体" w:eastAsia="宋体" w:cs="宋体"/>
                <w:color w:val="auto"/>
                <w:sz w:val="24"/>
                <w:szCs w:val="24"/>
                <w:highlight w:val="none"/>
                <w:vertAlign w:val="baseline"/>
                <w:lang w:val="en-US" w:eastAsia="zh-CN"/>
              </w:rPr>
              <w:t>≤5μSv/周；</w:t>
            </w:r>
          </w:p>
          <w:p>
            <w:pPr>
              <w:spacing w:line="360" w:lineRule="auto"/>
              <w:ind w:firstLine="480" w:firstLineChars="200"/>
              <w:rPr>
                <w:rFonts w:hint="eastAsia" w:ascii="宋体" w:hAnsi="宋体" w:eastAsia="宋体" w:cs="宋体"/>
                <w:color w:val="auto"/>
                <w:sz w:val="24"/>
                <w:highlight w:val="none"/>
                <w:vertAlign w:val="baseline"/>
                <w:lang w:val="en-US" w:eastAsia="zh-CN"/>
              </w:rPr>
            </w:pPr>
            <w:r>
              <w:rPr>
                <w:rFonts w:hint="eastAsia" w:ascii="宋体" w:hAnsi="宋体" w:eastAsia="宋体" w:cs="宋体"/>
                <w:color w:val="auto"/>
                <w:sz w:val="24"/>
                <w:highlight w:val="none"/>
                <w:lang w:val="en-US" w:eastAsia="zh-CN"/>
              </w:rPr>
              <w:t>2）按照关注点人员居留因子的不同，分别确定关注点的最高周围剂量当量率参考控制水平</w:t>
            </w:r>
            <w:r>
              <w:rPr>
                <w:rFonts w:hint="eastAsia" w:ascii="宋体" w:hAnsi="宋体" w:eastAsia="宋体" w:cs="宋体"/>
                <w:color w:val="auto"/>
                <w:sz w:val="24"/>
                <w:highlight w:val="none"/>
                <w:lang w:val="en-US" w:eastAsia="zh-CN"/>
              </w:rPr>
              <w:fldChar w:fldCharType="begin"/>
            </w:r>
            <w:r>
              <w:rPr>
                <w:rFonts w:hint="eastAsia" w:ascii="宋体" w:hAnsi="宋体" w:eastAsia="宋体" w:cs="宋体"/>
                <w:color w:val="auto"/>
                <w:sz w:val="24"/>
                <w:highlight w:val="none"/>
                <w:lang w:val="en-US" w:eastAsia="zh-CN"/>
              </w:rPr>
              <w:instrText xml:space="preserve"> EQ \* jc0 \* "Font:宋体" \* hps12 \o \ad(\s \up 11(。),H)</w:instrText>
            </w:r>
            <w:r>
              <w:rPr>
                <w:rFonts w:hint="eastAsia" w:ascii="宋体" w:hAnsi="宋体" w:eastAsia="宋体" w:cs="宋体"/>
                <w:color w:val="auto"/>
                <w:sz w:val="24"/>
                <w:highlight w:val="none"/>
                <w:lang w:val="en-US" w:eastAsia="zh-CN"/>
              </w:rPr>
              <w:fldChar w:fldCharType="end"/>
            </w:r>
            <w:r>
              <w:rPr>
                <w:rFonts w:hint="eastAsia" w:ascii="宋体" w:hAnsi="宋体" w:eastAsia="宋体" w:cs="宋体"/>
                <w:color w:val="auto"/>
                <w:sz w:val="24"/>
                <w:highlight w:val="none"/>
                <w:vertAlign w:val="subscript"/>
                <w:lang w:val="en-US" w:eastAsia="zh-CN"/>
              </w:rPr>
              <w:t>c，max</w:t>
            </w:r>
            <w:r>
              <w:rPr>
                <w:rFonts w:hint="eastAsia" w:ascii="宋体" w:hAnsi="宋体" w:eastAsia="宋体" w:cs="宋体"/>
                <w:color w:val="auto"/>
                <w:sz w:val="24"/>
                <w:highlight w:val="none"/>
                <w:vertAlign w:val="baseline"/>
                <w:lang w:val="en-US" w:eastAsia="zh-CN"/>
              </w:rPr>
              <w:t>（μSv/h）：</w:t>
            </w:r>
          </w:p>
          <w:p>
            <w:pPr>
              <w:spacing w:line="360" w:lineRule="auto"/>
              <w:ind w:firstLine="480" w:firstLineChars="200"/>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人员居留因子T&gt;1/2的场所：</w:t>
            </w:r>
            <w:r>
              <w:rPr>
                <w:rFonts w:hint="eastAsia" w:ascii="宋体" w:hAnsi="宋体" w:eastAsia="宋体" w:cs="宋体"/>
                <w:color w:val="auto"/>
                <w:sz w:val="24"/>
                <w:highlight w:val="none"/>
                <w:lang w:val="en-US" w:eastAsia="zh-CN"/>
              </w:rPr>
              <w:fldChar w:fldCharType="begin"/>
            </w:r>
            <w:r>
              <w:rPr>
                <w:rFonts w:hint="eastAsia" w:ascii="宋体" w:hAnsi="宋体" w:eastAsia="宋体" w:cs="宋体"/>
                <w:color w:val="auto"/>
                <w:sz w:val="24"/>
                <w:highlight w:val="none"/>
                <w:lang w:val="en-US" w:eastAsia="zh-CN"/>
              </w:rPr>
              <w:instrText xml:space="preserve"> EQ \* jc0 \* "Font:宋体" \* hps12 \o \ad(\s \up 11(。),H)</w:instrText>
            </w:r>
            <w:r>
              <w:rPr>
                <w:rFonts w:hint="eastAsia" w:ascii="宋体" w:hAnsi="宋体" w:eastAsia="宋体" w:cs="宋体"/>
                <w:color w:val="auto"/>
                <w:sz w:val="24"/>
                <w:highlight w:val="none"/>
                <w:lang w:val="en-US" w:eastAsia="zh-CN"/>
              </w:rPr>
              <w:fldChar w:fldCharType="end"/>
            </w:r>
            <w:r>
              <w:rPr>
                <w:rFonts w:hint="eastAsia" w:ascii="宋体" w:hAnsi="宋体" w:eastAsia="宋体" w:cs="宋体"/>
                <w:color w:val="auto"/>
                <w:sz w:val="24"/>
                <w:highlight w:val="none"/>
                <w:vertAlign w:val="subscript"/>
                <w:lang w:val="en-US" w:eastAsia="zh-CN"/>
              </w:rPr>
              <w:t>c，max</w:t>
            </w:r>
            <w:r>
              <w:rPr>
                <w:rFonts w:hint="eastAsia" w:ascii="宋体" w:hAnsi="宋体" w:eastAsia="宋体" w:cs="宋体"/>
                <w:color w:val="auto"/>
                <w:sz w:val="24"/>
                <w:highlight w:val="none"/>
                <w:lang w:val="en-US" w:eastAsia="zh-CN"/>
              </w:rPr>
              <w:t>≤ 2.5μSv/h；</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lang w:val="en-US" w:eastAsia="zh-CN"/>
              </w:rPr>
              <w:t>人员居留因子 T≤1/2 的场所：</w:t>
            </w:r>
            <w:r>
              <w:rPr>
                <w:rFonts w:hint="eastAsia" w:ascii="宋体" w:hAnsi="宋体" w:eastAsia="宋体" w:cs="宋体"/>
                <w:color w:val="auto"/>
                <w:sz w:val="24"/>
                <w:highlight w:val="none"/>
                <w:lang w:val="en-US" w:eastAsia="zh-CN"/>
              </w:rPr>
              <w:fldChar w:fldCharType="begin"/>
            </w:r>
            <w:r>
              <w:rPr>
                <w:rFonts w:hint="eastAsia" w:ascii="宋体" w:hAnsi="宋体" w:eastAsia="宋体" w:cs="宋体"/>
                <w:color w:val="auto"/>
                <w:sz w:val="24"/>
                <w:highlight w:val="none"/>
                <w:lang w:val="en-US" w:eastAsia="zh-CN"/>
              </w:rPr>
              <w:instrText xml:space="preserve"> EQ \* jc0 \* "Font:宋体" \* hps12 \o \ad(\s \up 11(。),H)</w:instrText>
            </w:r>
            <w:r>
              <w:rPr>
                <w:rFonts w:hint="eastAsia" w:ascii="宋体" w:hAnsi="宋体" w:eastAsia="宋体" w:cs="宋体"/>
                <w:color w:val="auto"/>
                <w:sz w:val="24"/>
                <w:highlight w:val="none"/>
                <w:lang w:val="en-US" w:eastAsia="zh-CN"/>
              </w:rPr>
              <w:fldChar w:fldCharType="end"/>
            </w:r>
            <w:r>
              <w:rPr>
                <w:rFonts w:hint="eastAsia" w:ascii="宋体" w:hAnsi="宋体" w:eastAsia="宋体" w:cs="宋体"/>
                <w:color w:val="auto"/>
                <w:sz w:val="24"/>
                <w:highlight w:val="none"/>
                <w:vertAlign w:val="subscript"/>
                <w:lang w:val="en-US" w:eastAsia="zh-CN"/>
              </w:rPr>
              <w:t>c，max</w:t>
            </w:r>
            <w:r>
              <w:rPr>
                <w:rFonts w:hint="eastAsia" w:ascii="宋体" w:hAnsi="宋体" w:eastAsia="宋体" w:cs="宋体"/>
                <w:color w:val="auto"/>
                <w:sz w:val="24"/>
                <w:highlight w:val="none"/>
                <w:lang w:val="en-US" w:eastAsia="zh-CN"/>
              </w:rPr>
              <w:t>≤ 10μSv/h；</w:t>
            </w:r>
          </w:p>
          <w:p>
            <w:pPr>
              <w:spacing w:line="360" w:lineRule="auto"/>
              <w:ind w:firstLine="480" w:firstLineChars="200"/>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b）穿出机房顶的辐射对偶然到达机房顶外的人员的照射，以年剂量250μSv加以控制。</w:t>
            </w:r>
          </w:p>
          <w:p>
            <w:pPr>
              <w:pStyle w:val="25"/>
              <w:spacing w:line="360" w:lineRule="auto"/>
              <w:ind w:firstLine="480" w:firstLineChars="200"/>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c）对不需要人员到达并只有借助工具才能进入的机房顶，机房顶外表面30cm处的剂量率参考控制水平可按100</w:t>
            </w:r>
            <w:r>
              <w:rPr>
                <w:rFonts w:hint="eastAsia" w:ascii="宋体" w:hAnsi="宋体" w:eastAsia="宋体" w:cs="宋体"/>
                <w:color w:val="auto"/>
                <w:sz w:val="24"/>
                <w:highlight w:val="none"/>
                <w:lang w:val="en-US" w:eastAsia="zh-CN"/>
              </w:rPr>
              <w:t>μSv/h加以控制（可在相应位置处设置辐射告示牌）。</w:t>
            </w:r>
          </w:p>
          <w:p>
            <w:pPr>
              <w:spacing w:line="360" w:lineRule="auto"/>
              <w:ind w:firstLine="480"/>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6.2 安全防护设施和措施要求</w:t>
            </w:r>
          </w:p>
          <w:p>
            <w:pPr>
              <w:pStyle w:val="25"/>
              <w:spacing w:line="360" w:lineRule="auto"/>
              <w:ind w:firstLine="480"/>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6.2.1 放射治疗工作场所，应当设置明显的电离辐射警告标志和工作状态指示灯等。</w:t>
            </w:r>
          </w:p>
          <w:p>
            <w:pPr>
              <w:spacing w:line="360" w:lineRule="auto"/>
              <w:ind w:firstLine="420"/>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a）放射治疗工作场所的入口处应设置电离辐射警告标志，贮源容器外表面应设置电离辐射标志和中文警示说明：</w:t>
            </w:r>
          </w:p>
          <w:p>
            <w:pPr>
              <w:pStyle w:val="25"/>
              <w:spacing w:line="360" w:lineRule="auto"/>
              <w:ind w:firstLine="42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b）放射治疗工作场所控制区进出口及其他适当位置应设电离辐射警告标志和工作状态指示灯。</w:t>
            </w:r>
          </w:p>
          <w:p>
            <w:pPr>
              <w:spacing w:line="360" w:lineRule="auto"/>
              <w:ind w:firstLine="48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c）控制室应设有在实施治疗过程中能观察患者状态、治疗室和迷道区域情况的视频装置，并设置双向交流对讲系统。</w:t>
            </w:r>
          </w:p>
          <w:p>
            <w:pPr>
              <w:pStyle w:val="25"/>
              <w:spacing w:line="360" w:lineRule="auto"/>
              <w:ind w:firstLine="42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6.2.2 质子/重离子加速器大厅和治疗室内、含放射源的放射治疗室、医用电子直线加速器治疗室（一般在迷道的内入口处）应设置固定式辐射剂量监测仪并应有异常情况下报警功能，其显示单元设置在控制室内或机房门附近。</w:t>
            </w:r>
          </w:p>
          <w:p>
            <w:pPr>
              <w:pStyle w:val="25"/>
              <w:spacing w:line="360" w:lineRule="auto"/>
              <w:ind w:firstLine="42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6.2.3 放射治疗相关的辐射工作场所，应设置防止误操作、防止工作人员和公众受到以外照射的安全联锁措施：</w:t>
            </w:r>
          </w:p>
          <w:p>
            <w:pPr>
              <w:spacing w:line="360" w:lineRule="auto"/>
              <w:ind w:firstLine="48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a)放射治疗室和质子/重离子加速器大厅应设置门—机源联锁装置，防护门未完全关闭时不能出束/出源照射，出束出源状态下开门停止出束或放射源回到治疗设备的安全位置。含放射源的治疗设备应设有断电自动回源措施；</w:t>
            </w:r>
          </w:p>
          <w:p>
            <w:pPr>
              <w:pStyle w:val="25"/>
              <w:spacing w:line="360" w:lineRule="auto"/>
              <w:ind w:firstLine="480" w:firstLineChars="200"/>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b)放射治疗室和质子/重离子加速器大厅应设置室内紧急开门装置，防护门应设置防夹伤功能；</w:t>
            </w:r>
          </w:p>
          <w:p>
            <w:pPr>
              <w:spacing w:line="360" w:lineRule="auto"/>
              <w:ind w:firstLine="480" w:firstLineChars="200"/>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c)应在放射治疗设备的控制室/台、治疗室迷道出入口及防护门内侧、治疗室四周墙壁、质子/重离子加速器大厅和束流输运通道内设置急停按钮；急停按钮应有醒目标识及文字显示能让在上述区域内的人员从各个方向均能观察到且便于触发；</w:t>
            </w:r>
          </w:p>
          <w:p>
            <w:pPr>
              <w:spacing w:line="360" w:lineRule="auto"/>
              <w:ind w:firstLine="480" w:firstLineChars="200"/>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f）安全联锁系统一旦被触发后，须人工就地复位并通过控制台才能重新启动放射治疗活动；安装调试及维修情况下，任何联锁旁路应通过单位辐射安全管理机构的批准与见证，工作完成后应及时进行联锁恢复及功能测试。</w:t>
            </w:r>
          </w:p>
          <w:p>
            <w:pPr>
              <w:pStyle w:val="25"/>
              <w:spacing w:line="360" w:lineRule="auto"/>
              <w:ind w:firstLine="48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7 操作的辐射安全与防护要求</w:t>
            </w:r>
          </w:p>
          <w:p>
            <w:pPr>
              <w:spacing w:line="360" w:lineRule="auto"/>
              <w:ind w:firstLine="480" w:firstLineChars="200"/>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7.1 医疗机构应对辐射工作场所的安全联锁系统定期进行试验自查保存自查记录，保证安全联锁的正常有效运行。</w:t>
            </w:r>
          </w:p>
          <w:p>
            <w:pPr>
              <w:spacing w:line="360" w:lineRule="auto"/>
              <w:ind w:firstLine="480" w:firstLineChars="200"/>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7.2 治疗期间，应有两名及以上人员协调操作，认真做好当班记录，严格执行交接班制度；加速器试用、调试、检修期间，控制室须有工作人员值守。</w:t>
            </w:r>
          </w:p>
          <w:p>
            <w:pPr>
              <w:spacing w:line="360" w:lineRule="auto"/>
              <w:ind w:firstLine="480" w:firstLineChars="200"/>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7.3 任何人员未经授权或允许不得进入控制区。工作人员须在确认放射治疗或者治疗室束流已经终止的情况下方可进入放射治疗室。</w:t>
            </w:r>
          </w:p>
          <w:p>
            <w:pPr>
              <w:spacing w:line="360" w:lineRule="auto"/>
              <w:ind w:firstLine="240" w:firstLineChars="100"/>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2</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《放射治疗放射防护要求》（GBZ121-2020）</w:t>
            </w:r>
            <w:r>
              <w:rPr>
                <w:rFonts w:hint="eastAsia" w:ascii="宋体" w:hAnsi="宋体" w:eastAsia="宋体" w:cs="宋体"/>
                <w:color w:val="auto"/>
                <w:sz w:val="24"/>
                <w:highlight w:val="none"/>
                <w:lang w:val="en-US" w:eastAsia="zh-CN"/>
              </w:rPr>
              <w:t>中规定：</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说明：本标准内容在</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放射治疗辐射安全与防护要求</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HJ1198-2021</w:t>
            </w:r>
            <w:r>
              <w:rPr>
                <w:rFonts w:hint="eastAsia" w:ascii="宋体" w:hAnsi="宋体" w:eastAsia="宋体" w:cs="宋体"/>
                <w:color w:val="auto"/>
                <w:sz w:val="24"/>
                <w:highlight w:val="none"/>
                <w:lang w:eastAsia="zh-CN"/>
              </w:rPr>
              <w:t>）</w:t>
            </w:r>
            <w:r>
              <w:rPr>
                <w:rFonts w:hint="eastAsia" w:ascii="宋体" w:hAnsi="宋体" w:eastAsia="宋体" w:cs="宋体"/>
                <w:color w:val="auto"/>
                <w:sz w:val="24"/>
                <w:szCs w:val="24"/>
                <w:highlight w:val="none"/>
                <w:lang w:val="en-US" w:eastAsia="zh-CN"/>
              </w:rPr>
              <w:t>已经涉及的部分不再重复</w:t>
            </w:r>
            <w:r>
              <w:rPr>
                <w:rFonts w:hint="eastAsia" w:ascii="宋体" w:hAnsi="宋体" w:eastAsia="宋体" w:cs="宋体"/>
                <w:color w:val="auto"/>
                <w:sz w:val="24"/>
                <w:szCs w:val="24"/>
                <w:highlight w:val="none"/>
                <w:lang w:eastAsia="zh-CN"/>
              </w:rPr>
              <w:t>）</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szCs w:val="24"/>
                <w:highlight w:val="none"/>
              </w:rPr>
              <w:t>6 工作场</w:t>
            </w:r>
            <w:r>
              <w:rPr>
                <w:rFonts w:hint="eastAsia" w:ascii="宋体" w:hAnsi="宋体" w:eastAsia="宋体" w:cs="宋体"/>
                <w:color w:val="auto"/>
                <w:sz w:val="24"/>
                <w:highlight w:val="none"/>
              </w:rPr>
              <w:t>所放射防护要求</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6.1 布局要求</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6.</w:t>
            </w:r>
            <w:r>
              <w:rPr>
                <w:rFonts w:hint="eastAsia" w:ascii="宋体" w:hAnsi="宋体" w:eastAsia="宋体" w:cs="宋体"/>
                <w:color w:val="auto"/>
                <w:sz w:val="24"/>
                <w:highlight w:val="none"/>
                <w:lang w:val="en-US" w:eastAsia="zh-CN"/>
              </w:rPr>
              <w:t>1.1</w:t>
            </w:r>
            <w:r>
              <w:rPr>
                <w:rFonts w:hint="eastAsia" w:ascii="宋体" w:hAnsi="宋体" w:eastAsia="宋体" w:cs="宋体"/>
                <w:color w:val="auto"/>
                <w:sz w:val="24"/>
                <w:highlight w:val="none"/>
              </w:rPr>
              <w:t xml:space="preserve"> 放射治疗设施一般单独建造或建在建筑物底部的一端；放射治疗机房及其辅助设施应同时设计和建造，并根据安全、卫生和方便的原则合理布置。</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6.</w:t>
            </w:r>
            <w:r>
              <w:rPr>
                <w:rFonts w:hint="eastAsia" w:ascii="宋体" w:hAnsi="宋体" w:eastAsia="宋体" w:cs="宋体"/>
                <w:color w:val="auto"/>
                <w:sz w:val="24"/>
                <w:highlight w:val="none"/>
                <w:lang w:val="en-US" w:eastAsia="zh-CN"/>
              </w:rPr>
              <w:t>1.2</w:t>
            </w:r>
            <w:r>
              <w:rPr>
                <w:rFonts w:hint="eastAsia" w:ascii="宋体" w:hAnsi="宋体" w:eastAsia="宋体" w:cs="宋体"/>
                <w:color w:val="auto"/>
                <w:sz w:val="24"/>
                <w:highlight w:val="none"/>
              </w:rPr>
              <w:t>放射治疗工作场所应分为控制区和监督区。治疗机房、迷路应设置为控制区；其他相邻的、不需要采取专门防护手段和安全控制措施，但需经常检查其职业照射条件的区域设为监督区。</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6.</w:t>
            </w:r>
            <w:r>
              <w:rPr>
                <w:rFonts w:hint="eastAsia" w:ascii="宋体" w:hAnsi="宋体" w:eastAsia="宋体" w:cs="宋体"/>
                <w:color w:val="auto"/>
                <w:sz w:val="24"/>
                <w:highlight w:val="none"/>
                <w:lang w:val="en-US" w:eastAsia="zh-CN"/>
              </w:rPr>
              <w:t>1.3</w:t>
            </w:r>
            <w:r>
              <w:rPr>
                <w:rFonts w:hint="eastAsia" w:ascii="宋体" w:hAnsi="宋体" w:eastAsia="宋体" w:cs="宋体"/>
                <w:color w:val="auto"/>
                <w:sz w:val="24"/>
                <w:highlight w:val="none"/>
              </w:rPr>
              <w:t xml:space="preserve"> 治疗机房有用线束照射方向的防护屏蔽应满足主射线束的屏蔽要求，其余方向的防护屏蔽应满足漏射线及散射线的屏蔽要求。</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6.</w:t>
            </w:r>
            <w:r>
              <w:rPr>
                <w:rFonts w:hint="eastAsia" w:ascii="宋体" w:hAnsi="宋体" w:eastAsia="宋体" w:cs="宋体"/>
                <w:color w:val="auto"/>
                <w:sz w:val="24"/>
                <w:highlight w:val="none"/>
                <w:lang w:val="en-US" w:eastAsia="zh-CN"/>
              </w:rPr>
              <w:t>1.4</w:t>
            </w:r>
            <w:r>
              <w:rPr>
                <w:rFonts w:hint="eastAsia" w:ascii="宋体" w:hAnsi="宋体" w:eastAsia="宋体" w:cs="宋体"/>
                <w:color w:val="auto"/>
                <w:sz w:val="24"/>
                <w:highlight w:val="none"/>
              </w:rPr>
              <w:t xml:space="preserve"> 治疗设备</w:t>
            </w:r>
            <w:r>
              <w:rPr>
                <w:rFonts w:hint="eastAsia" w:ascii="宋体" w:hAnsi="宋体" w:eastAsia="宋体" w:cs="宋体"/>
                <w:color w:val="auto"/>
                <w:sz w:val="24"/>
                <w:highlight w:val="none"/>
                <w:lang w:eastAsia="zh-CN"/>
              </w:rPr>
              <w:t>操作间</w:t>
            </w:r>
            <w:r>
              <w:rPr>
                <w:rFonts w:hint="eastAsia" w:ascii="宋体" w:hAnsi="宋体" w:eastAsia="宋体" w:cs="宋体"/>
                <w:color w:val="auto"/>
                <w:sz w:val="24"/>
                <w:highlight w:val="none"/>
              </w:rPr>
              <w:t>应与治疗机房分开设置，治疗设备辅助机械、电器、水冷设备，凡是可以与治疗设备分离的，尽可能设置于治疗机房外。</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6.</w:t>
            </w:r>
            <w:r>
              <w:rPr>
                <w:rFonts w:hint="eastAsia" w:ascii="宋体" w:hAnsi="宋体" w:eastAsia="宋体" w:cs="宋体"/>
                <w:color w:val="auto"/>
                <w:sz w:val="24"/>
                <w:highlight w:val="none"/>
                <w:lang w:val="en-US" w:eastAsia="zh-CN"/>
              </w:rPr>
              <w:t>1.5</w:t>
            </w:r>
            <w:r>
              <w:rPr>
                <w:rFonts w:hint="eastAsia" w:ascii="宋体" w:hAnsi="宋体" w:eastAsia="宋体" w:cs="宋体"/>
                <w:color w:val="auto"/>
                <w:sz w:val="24"/>
                <w:highlight w:val="none"/>
              </w:rPr>
              <w:t xml:space="preserve"> 应合理设置有用线束的朝向，直接与治疗机房相连的治疗设备的</w:t>
            </w:r>
            <w:r>
              <w:rPr>
                <w:rFonts w:hint="eastAsia" w:ascii="宋体" w:hAnsi="宋体" w:eastAsia="宋体" w:cs="宋体"/>
                <w:color w:val="auto"/>
                <w:sz w:val="24"/>
                <w:highlight w:val="none"/>
                <w:lang w:eastAsia="zh-CN"/>
              </w:rPr>
              <w:t>操作间</w:t>
            </w:r>
            <w:r>
              <w:rPr>
                <w:rFonts w:hint="eastAsia" w:ascii="宋体" w:hAnsi="宋体" w:eastAsia="宋体" w:cs="宋体"/>
                <w:color w:val="auto"/>
                <w:sz w:val="24"/>
                <w:highlight w:val="none"/>
              </w:rPr>
              <w:t>和其他居留因子较大的用室</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rPr>
              <w:t>尽可能避开被有用线束直接照射。</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6.1.6 X射线管治疗设备的治疗机房、术中放射治疗手术室可不设迷路；γ刀治疗设备的治疗机房，根据场所空间和环境条件，确定是否选用迷路；其他治疗机房均应设置迷路。</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6.2 空间、通风要求</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6.2.1 放射治疗机房应有足够的有效使用空间，以确保放射治疗设备的临床应用需要。</w:t>
            </w:r>
          </w:p>
          <w:p>
            <w:pPr>
              <w:spacing w:line="360" w:lineRule="auto"/>
              <w:ind w:firstLine="480" w:firstLineChars="200"/>
              <w:rPr>
                <w:rFonts w:hint="eastAsia" w:ascii="宋体" w:hAnsi="宋体" w:eastAsia="宋体" w:cs="宋体"/>
                <w:color w:val="auto"/>
                <w:sz w:val="24"/>
                <w:highlight w:val="none"/>
                <w:lang w:eastAsia="zh-CN"/>
              </w:rPr>
            </w:pPr>
            <w:r>
              <w:rPr>
                <w:rFonts w:hint="eastAsia" w:ascii="宋体" w:hAnsi="宋体" w:eastAsia="宋体" w:cs="宋体"/>
                <w:color w:val="auto"/>
                <w:sz w:val="24"/>
                <w:highlight w:val="none"/>
              </w:rPr>
              <w:t>6.2.2 放射治疗机房应设置强制排风系统，进风口应设在放射治疗机房上部， 排风口应设在治疗机房下部，进风口与排风口位置应对角设置，以确保室内空气充分交换；通风换气次数应不小于4次/h</w:t>
            </w:r>
            <w:r>
              <w:rPr>
                <w:rFonts w:hint="eastAsia" w:ascii="宋体" w:hAnsi="宋体" w:eastAsia="宋体" w:cs="宋体"/>
                <w:color w:val="auto"/>
                <w:sz w:val="24"/>
                <w:highlight w:val="none"/>
                <w:lang w:eastAsia="zh-CN"/>
              </w:rPr>
              <w:t>。</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r>
              <w:rPr>
                <w:rFonts w:hint="eastAsia" w:ascii="宋体" w:hAnsi="宋体" w:eastAsia="宋体" w:cs="宋体"/>
                <w:color w:val="auto"/>
                <w:sz w:val="24"/>
                <w:highlight w:val="none"/>
                <w:lang w:val="en-US" w:eastAsia="zh-CN"/>
              </w:rPr>
              <w:t>3</w:t>
            </w:r>
            <w:r>
              <w:rPr>
                <w:rFonts w:hint="eastAsia" w:ascii="宋体" w:hAnsi="宋体" w:eastAsia="宋体" w:cs="宋体"/>
                <w:color w:val="auto"/>
                <w:sz w:val="24"/>
                <w:highlight w:val="none"/>
              </w:rPr>
              <w:t>）《放射治疗机房的辐射屏蔽规范第2部分：电子直线加速器放射治疗机房》（GBZ/T 201.2－2011）</w:t>
            </w:r>
          </w:p>
          <w:p>
            <w:pPr>
              <w:pStyle w:val="25"/>
              <w:jc w:val="center"/>
              <w:rPr>
                <w:rFonts w:hint="eastAsia" w:ascii="宋体" w:hAnsi="宋体" w:eastAsia="宋体" w:cs="宋体"/>
                <w:b/>
                <w:color w:val="auto"/>
                <w:spacing w:val="16"/>
                <w:kern w:val="2"/>
                <w:sz w:val="21"/>
                <w:szCs w:val="21"/>
                <w:highlight w:val="none"/>
                <w:lang w:val="en-US" w:eastAsia="zh-CN" w:bidi="ar-SA"/>
              </w:rPr>
            </w:pPr>
            <w:r>
              <w:rPr>
                <w:rFonts w:hint="eastAsia" w:ascii="宋体" w:hAnsi="宋体" w:eastAsia="宋体" w:cs="宋体"/>
                <w:b/>
                <w:color w:val="auto"/>
                <w:spacing w:val="16"/>
                <w:kern w:val="2"/>
                <w:sz w:val="21"/>
                <w:szCs w:val="21"/>
                <w:highlight w:val="none"/>
                <w:lang w:val="en-US" w:eastAsia="zh-CN" w:bidi="ar-SA"/>
              </w:rPr>
              <w:t>表7-3 有用束和泄露辐射在混凝土中的什值层</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46"/>
              <w:gridCol w:w="1746"/>
              <w:gridCol w:w="1746"/>
              <w:gridCol w:w="1746"/>
              <w:gridCol w:w="174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54" w:hRule="exact"/>
                <w:jc w:val="center"/>
              </w:trPr>
              <w:tc>
                <w:tcPr>
                  <w:tcW w:w="1746" w:type="dxa"/>
                  <w:vMerge w:val="restart"/>
                  <w:tcBorders>
                    <w:tl2br w:val="nil"/>
                    <w:tr2bl w:val="nil"/>
                  </w:tcBorders>
                  <w:vAlign w:val="center"/>
                </w:tcPr>
                <w:p>
                  <w:pPr>
                    <w:pStyle w:val="25"/>
                    <w:jc w:val="center"/>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MV/MeV</w:t>
                  </w:r>
                </w:p>
              </w:tc>
              <w:tc>
                <w:tcPr>
                  <w:tcW w:w="3492" w:type="dxa"/>
                  <w:gridSpan w:val="2"/>
                  <w:tcBorders>
                    <w:tl2br w:val="nil"/>
                    <w:tr2bl w:val="nil"/>
                  </w:tcBorders>
                  <w:vAlign w:val="center"/>
                </w:tcPr>
                <w:p>
                  <w:pPr>
                    <w:pStyle w:val="25"/>
                    <w:jc w:val="center"/>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有用束</w:t>
                  </w:r>
                </w:p>
              </w:tc>
              <w:tc>
                <w:tcPr>
                  <w:tcW w:w="3492" w:type="dxa"/>
                  <w:gridSpan w:val="2"/>
                  <w:tcBorders>
                    <w:tl2br w:val="nil"/>
                    <w:tr2bl w:val="nil"/>
                  </w:tcBorders>
                  <w:vAlign w:val="center"/>
                </w:tcPr>
                <w:p>
                  <w:pPr>
                    <w:pStyle w:val="25"/>
                    <w:jc w:val="center"/>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90°泄漏辐射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746" w:type="dxa"/>
                  <w:vMerge w:val="continue"/>
                  <w:tcBorders>
                    <w:tl2br w:val="nil"/>
                    <w:tr2bl w:val="nil"/>
                  </w:tcBorders>
                  <w:vAlign w:val="center"/>
                </w:tcPr>
                <w:p>
                  <w:pPr>
                    <w:pStyle w:val="25"/>
                    <w:jc w:val="center"/>
                    <w:rPr>
                      <w:rFonts w:hint="eastAsia" w:ascii="宋体" w:hAnsi="宋体" w:eastAsia="宋体" w:cs="宋体"/>
                      <w:color w:val="auto"/>
                      <w:sz w:val="21"/>
                      <w:szCs w:val="21"/>
                      <w:highlight w:val="none"/>
                      <w:vertAlign w:val="baseline"/>
                      <w:lang w:val="en-US" w:eastAsia="zh-CN"/>
                    </w:rPr>
                  </w:pPr>
                </w:p>
              </w:tc>
              <w:tc>
                <w:tcPr>
                  <w:tcW w:w="1746" w:type="dxa"/>
                  <w:tcBorders>
                    <w:tl2br w:val="nil"/>
                    <w:tr2bl w:val="nil"/>
                  </w:tcBorders>
                  <w:vAlign w:val="center"/>
                </w:tcPr>
                <w:p>
                  <w:pPr>
                    <w:pStyle w:val="25"/>
                    <w:jc w:val="center"/>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TVL</w:t>
                  </w:r>
                  <w:r>
                    <w:rPr>
                      <w:rFonts w:hint="eastAsia" w:ascii="宋体" w:hAnsi="宋体" w:eastAsia="宋体" w:cs="宋体"/>
                      <w:color w:val="auto"/>
                      <w:sz w:val="21"/>
                      <w:szCs w:val="21"/>
                      <w:highlight w:val="none"/>
                      <w:vertAlign w:val="subscript"/>
                      <w:lang w:val="en-US" w:eastAsia="zh-CN"/>
                    </w:rPr>
                    <w:t>1</w:t>
                  </w:r>
                  <w:r>
                    <w:rPr>
                      <w:rFonts w:hint="eastAsia" w:ascii="宋体" w:hAnsi="宋体" w:eastAsia="宋体" w:cs="宋体"/>
                      <w:color w:val="auto"/>
                      <w:sz w:val="21"/>
                      <w:szCs w:val="21"/>
                      <w:highlight w:val="none"/>
                      <w:vertAlign w:val="baseline"/>
                      <w:lang w:val="en-US" w:eastAsia="zh-CN"/>
                    </w:rPr>
                    <w:t>（cm）</w:t>
                  </w:r>
                </w:p>
              </w:tc>
              <w:tc>
                <w:tcPr>
                  <w:tcW w:w="1746" w:type="dxa"/>
                  <w:tcBorders>
                    <w:tl2br w:val="nil"/>
                    <w:tr2bl w:val="nil"/>
                  </w:tcBorders>
                  <w:vAlign w:val="center"/>
                </w:tcPr>
                <w:p>
                  <w:pPr>
                    <w:pStyle w:val="25"/>
                    <w:jc w:val="center"/>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TVL（cm）</w:t>
                  </w:r>
                </w:p>
              </w:tc>
              <w:tc>
                <w:tcPr>
                  <w:tcW w:w="1746" w:type="dxa"/>
                  <w:tcBorders>
                    <w:tl2br w:val="nil"/>
                    <w:tr2bl w:val="nil"/>
                  </w:tcBorders>
                  <w:vAlign w:val="center"/>
                </w:tcPr>
                <w:p>
                  <w:pPr>
                    <w:pStyle w:val="25"/>
                    <w:jc w:val="center"/>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TVL</w:t>
                  </w:r>
                  <w:r>
                    <w:rPr>
                      <w:rFonts w:hint="eastAsia" w:ascii="宋体" w:hAnsi="宋体" w:eastAsia="宋体" w:cs="宋体"/>
                      <w:color w:val="auto"/>
                      <w:sz w:val="21"/>
                      <w:szCs w:val="21"/>
                      <w:highlight w:val="none"/>
                      <w:vertAlign w:val="subscript"/>
                      <w:lang w:val="en-US" w:eastAsia="zh-CN"/>
                    </w:rPr>
                    <w:t>1</w:t>
                  </w:r>
                  <w:r>
                    <w:rPr>
                      <w:rFonts w:hint="eastAsia" w:ascii="宋体" w:hAnsi="宋体" w:eastAsia="宋体" w:cs="宋体"/>
                      <w:color w:val="auto"/>
                      <w:sz w:val="21"/>
                      <w:szCs w:val="21"/>
                      <w:highlight w:val="none"/>
                      <w:vertAlign w:val="baseline"/>
                      <w:lang w:val="en-US" w:eastAsia="zh-CN"/>
                    </w:rPr>
                    <w:t>（cm）</w:t>
                  </w:r>
                </w:p>
              </w:tc>
              <w:tc>
                <w:tcPr>
                  <w:tcW w:w="1746" w:type="dxa"/>
                  <w:tcBorders>
                    <w:tl2br w:val="nil"/>
                    <w:tr2bl w:val="nil"/>
                  </w:tcBorders>
                  <w:vAlign w:val="center"/>
                </w:tcPr>
                <w:p>
                  <w:pPr>
                    <w:pStyle w:val="25"/>
                    <w:jc w:val="center"/>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TVL（cm）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746" w:type="dxa"/>
                  <w:tcBorders>
                    <w:tl2br w:val="nil"/>
                    <w:tr2bl w:val="nil"/>
                  </w:tcBorders>
                  <w:vAlign w:val="center"/>
                </w:tcPr>
                <w:p>
                  <w:pPr>
                    <w:pStyle w:val="25"/>
                    <w:jc w:val="center"/>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10MV</w:t>
                  </w:r>
                </w:p>
              </w:tc>
              <w:tc>
                <w:tcPr>
                  <w:tcW w:w="1746" w:type="dxa"/>
                  <w:tcBorders>
                    <w:tl2br w:val="nil"/>
                    <w:tr2bl w:val="nil"/>
                  </w:tcBorders>
                  <w:vAlign w:val="center"/>
                </w:tcPr>
                <w:p>
                  <w:pPr>
                    <w:pStyle w:val="25"/>
                    <w:jc w:val="center"/>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41</w:t>
                  </w:r>
                </w:p>
              </w:tc>
              <w:tc>
                <w:tcPr>
                  <w:tcW w:w="1746" w:type="dxa"/>
                  <w:tcBorders>
                    <w:tl2br w:val="nil"/>
                    <w:tr2bl w:val="nil"/>
                  </w:tcBorders>
                  <w:vAlign w:val="center"/>
                </w:tcPr>
                <w:p>
                  <w:pPr>
                    <w:pStyle w:val="25"/>
                    <w:jc w:val="center"/>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37</w:t>
                  </w:r>
                </w:p>
              </w:tc>
              <w:tc>
                <w:tcPr>
                  <w:tcW w:w="1746" w:type="dxa"/>
                  <w:tcBorders>
                    <w:tl2br w:val="nil"/>
                    <w:tr2bl w:val="nil"/>
                  </w:tcBorders>
                  <w:vAlign w:val="center"/>
                </w:tcPr>
                <w:p>
                  <w:pPr>
                    <w:pStyle w:val="25"/>
                    <w:jc w:val="center"/>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35</w:t>
                  </w:r>
                </w:p>
              </w:tc>
              <w:tc>
                <w:tcPr>
                  <w:tcW w:w="1746" w:type="dxa"/>
                  <w:tcBorders>
                    <w:tl2br w:val="nil"/>
                    <w:tr2bl w:val="nil"/>
                  </w:tcBorders>
                  <w:vAlign w:val="center"/>
                </w:tcPr>
                <w:p>
                  <w:pPr>
                    <w:pStyle w:val="25"/>
                    <w:jc w:val="center"/>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31</w:t>
                  </w:r>
                </w:p>
              </w:tc>
            </w:tr>
          </w:tbl>
          <w:p>
            <w:pPr>
              <w:pStyle w:val="25"/>
              <w:spacing w:line="360" w:lineRule="auto"/>
              <w:ind w:firstLine="480" w:firstLineChars="200"/>
              <w:jc w:val="both"/>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（4）</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放射治疗辐射安全与防护要求</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HJ1198-2021</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附录A</w:t>
            </w:r>
          </w:p>
          <w:p>
            <w:pPr>
              <w:pStyle w:val="25"/>
              <w:jc w:val="center"/>
              <w:rPr>
                <w:rFonts w:hint="eastAsia" w:ascii="宋体" w:hAnsi="宋体" w:eastAsia="宋体" w:cs="宋体"/>
                <w:b/>
                <w:color w:val="auto"/>
                <w:spacing w:val="16"/>
                <w:kern w:val="2"/>
                <w:sz w:val="21"/>
                <w:szCs w:val="21"/>
                <w:highlight w:val="none"/>
                <w:lang w:val="en-US" w:eastAsia="zh-CN" w:bidi="ar-SA"/>
              </w:rPr>
            </w:pPr>
            <w:r>
              <w:rPr>
                <w:rFonts w:hint="eastAsia" w:ascii="宋体" w:hAnsi="宋体" w:eastAsia="宋体" w:cs="宋体"/>
                <w:b/>
                <w:color w:val="auto"/>
                <w:spacing w:val="16"/>
                <w:kern w:val="2"/>
                <w:sz w:val="21"/>
                <w:szCs w:val="21"/>
                <w:highlight w:val="none"/>
                <w:lang w:val="en-US" w:eastAsia="zh-CN" w:bidi="ar-SA"/>
              </w:rPr>
              <w:t>表7-4 不同场所的居留因子</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5"/>
              <w:gridCol w:w="1080"/>
              <w:gridCol w:w="1290"/>
              <w:gridCol w:w="559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65" w:type="dxa"/>
                  <w:vMerge w:val="restart"/>
                  <w:tcBorders>
                    <w:tl2br w:val="nil"/>
                    <w:tr2bl w:val="nil"/>
                  </w:tcBorders>
                  <w:vAlign w:val="center"/>
                </w:tcPr>
                <w:p>
                  <w:pPr>
                    <w:pStyle w:val="25"/>
                    <w:jc w:val="center"/>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场所</w:t>
                  </w:r>
                </w:p>
              </w:tc>
              <w:tc>
                <w:tcPr>
                  <w:tcW w:w="2370" w:type="dxa"/>
                  <w:gridSpan w:val="2"/>
                  <w:tcBorders>
                    <w:tl2br w:val="nil"/>
                    <w:tr2bl w:val="nil"/>
                  </w:tcBorders>
                  <w:vAlign w:val="center"/>
                </w:tcPr>
                <w:p>
                  <w:pPr>
                    <w:pStyle w:val="25"/>
                    <w:jc w:val="center"/>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居留因子（T）</w:t>
                  </w:r>
                </w:p>
              </w:tc>
              <w:tc>
                <w:tcPr>
                  <w:tcW w:w="5595" w:type="dxa"/>
                  <w:vMerge w:val="restart"/>
                  <w:tcBorders>
                    <w:tl2br w:val="nil"/>
                    <w:tr2bl w:val="nil"/>
                  </w:tcBorders>
                  <w:vAlign w:val="center"/>
                </w:tcPr>
                <w:p>
                  <w:pPr>
                    <w:pStyle w:val="25"/>
                    <w:jc w:val="center"/>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示例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65" w:type="dxa"/>
                  <w:vMerge w:val="continue"/>
                  <w:tcBorders>
                    <w:tl2br w:val="nil"/>
                    <w:tr2bl w:val="nil"/>
                  </w:tcBorders>
                  <w:vAlign w:val="center"/>
                </w:tcPr>
                <w:p>
                  <w:pPr>
                    <w:pStyle w:val="25"/>
                    <w:jc w:val="center"/>
                    <w:rPr>
                      <w:rFonts w:hint="eastAsia" w:ascii="宋体" w:hAnsi="宋体" w:eastAsia="宋体" w:cs="宋体"/>
                      <w:color w:val="auto"/>
                      <w:sz w:val="21"/>
                      <w:szCs w:val="21"/>
                      <w:highlight w:val="none"/>
                      <w:vertAlign w:val="baseline"/>
                      <w:lang w:val="en-US" w:eastAsia="zh-CN"/>
                    </w:rPr>
                  </w:pPr>
                </w:p>
              </w:tc>
              <w:tc>
                <w:tcPr>
                  <w:tcW w:w="1080" w:type="dxa"/>
                  <w:tcBorders>
                    <w:tl2br w:val="nil"/>
                    <w:tr2bl w:val="nil"/>
                  </w:tcBorders>
                  <w:vAlign w:val="center"/>
                </w:tcPr>
                <w:p>
                  <w:pPr>
                    <w:pStyle w:val="25"/>
                    <w:jc w:val="center"/>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典型值</w:t>
                  </w:r>
                </w:p>
              </w:tc>
              <w:tc>
                <w:tcPr>
                  <w:tcW w:w="1290" w:type="dxa"/>
                  <w:tcBorders>
                    <w:tl2br w:val="nil"/>
                    <w:tr2bl w:val="nil"/>
                  </w:tcBorders>
                  <w:vAlign w:val="center"/>
                </w:tcPr>
                <w:p>
                  <w:pPr>
                    <w:pStyle w:val="25"/>
                    <w:jc w:val="center"/>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范围</w:t>
                  </w:r>
                </w:p>
              </w:tc>
              <w:tc>
                <w:tcPr>
                  <w:tcW w:w="5595" w:type="dxa"/>
                  <w:vMerge w:val="continue"/>
                  <w:tcBorders>
                    <w:tl2br w:val="nil"/>
                    <w:tr2bl w:val="nil"/>
                  </w:tcBorders>
                  <w:vAlign w:val="center"/>
                </w:tcPr>
                <w:p>
                  <w:pPr>
                    <w:pStyle w:val="25"/>
                    <w:jc w:val="center"/>
                    <w:rPr>
                      <w:rFonts w:hint="eastAsia" w:ascii="宋体" w:hAnsi="宋体" w:eastAsia="宋体" w:cs="宋体"/>
                      <w:color w:val="auto"/>
                      <w:sz w:val="21"/>
                      <w:szCs w:val="21"/>
                      <w:highlight w:val="none"/>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765" w:type="dxa"/>
                  <w:tcBorders>
                    <w:tl2br w:val="nil"/>
                    <w:tr2bl w:val="nil"/>
                  </w:tcBorders>
                  <w:vAlign w:val="center"/>
                </w:tcPr>
                <w:p>
                  <w:pPr>
                    <w:pStyle w:val="25"/>
                    <w:jc w:val="center"/>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全居留</w:t>
                  </w:r>
                </w:p>
              </w:tc>
              <w:tc>
                <w:tcPr>
                  <w:tcW w:w="1080" w:type="dxa"/>
                  <w:tcBorders>
                    <w:tl2br w:val="nil"/>
                    <w:tr2bl w:val="nil"/>
                  </w:tcBorders>
                  <w:vAlign w:val="center"/>
                </w:tcPr>
                <w:p>
                  <w:pPr>
                    <w:pStyle w:val="25"/>
                    <w:jc w:val="center"/>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1</w:t>
                  </w:r>
                </w:p>
              </w:tc>
              <w:tc>
                <w:tcPr>
                  <w:tcW w:w="1290" w:type="dxa"/>
                  <w:tcBorders>
                    <w:tl2br w:val="nil"/>
                    <w:tr2bl w:val="nil"/>
                  </w:tcBorders>
                  <w:vAlign w:val="center"/>
                </w:tcPr>
                <w:p>
                  <w:pPr>
                    <w:pStyle w:val="25"/>
                    <w:jc w:val="center"/>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1</w:t>
                  </w:r>
                </w:p>
              </w:tc>
              <w:tc>
                <w:tcPr>
                  <w:tcW w:w="5595" w:type="dxa"/>
                  <w:tcBorders>
                    <w:tl2br w:val="nil"/>
                    <w:tr2bl w:val="nil"/>
                  </w:tcBorders>
                  <w:vAlign w:val="center"/>
                </w:tcPr>
                <w:p>
                  <w:pPr>
                    <w:pStyle w:val="25"/>
                    <w:jc w:val="both"/>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管理人员或职员办公室，治疗计划区、治疗操作间、护士站、咨询台、有人护理的候诊室以及周边建筑物中的驻留区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765" w:type="dxa"/>
                  <w:tcBorders>
                    <w:tl2br w:val="nil"/>
                    <w:tr2bl w:val="nil"/>
                  </w:tcBorders>
                  <w:vAlign w:val="center"/>
                </w:tcPr>
                <w:p>
                  <w:pPr>
                    <w:pStyle w:val="25"/>
                    <w:jc w:val="center"/>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部分居留</w:t>
                  </w:r>
                </w:p>
              </w:tc>
              <w:tc>
                <w:tcPr>
                  <w:tcW w:w="1080" w:type="dxa"/>
                  <w:tcBorders>
                    <w:tl2br w:val="nil"/>
                    <w:tr2bl w:val="nil"/>
                  </w:tcBorders>
                  <w:vAlign w:val="center"/>
                </w:tcPr>
                <w:p>
                  <w:pPr>
                    <w:pStyle w:val="25"/>
                    <w:jc w:val="center"/>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1/4</w:t>
                  </w:r>
                </w:p>
              </w:tc>
              <w:tc>
                <w:tcPr>
                  <w:tcW w:w="1290" w:type="dxa"/>
                  <w:tcBorders>
                    <w:tl2br w:val="nil"/>
                    <w:tr2bl w:val="nil"/>
                  </w:tcBorders>
                  <w:vAlign w:val="center"/>
                </w:tcPr>
                <w:p>
                  <w:pPr>
                    <w:pStyle w:val="25"/>
                    <w:jc w:val="center"/>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1/2～1/5</w:t>
                  </w:r>
                </w:p>
              </w:tc>
              <w:tc>
                <w:tcPr>
                  <w:tcW w:w="5595" w:type="dxa"/>
                  <w:tcBorders>
                    <w:tl2br w:val="nil"/>
                    <w:tr2bl w:val="nil"/>
                  </w:tcBorders>
                  <w:vAlign w:val="center"/>
                </w:tcPr>
                <w:p>
                  <w:pPr>
                    <w:pStyle w:val="25"/>
                    <w:jc w:val="both"/>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1/2：相邻的治疗室、与屏蔽室相邻的病人检查室</w:t>
                  </w:r>
                </w:p>
                <w:p>
                  <w:pPr>
                    <w:pStyle w:val="25"/>
                    <w:jc w:val="both"/>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1/5：走廊、雇员休息室、职员休息室</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20" w:hRule="atLeast"/>
                <w:jc w:val="center"/>
              </w:trPr>
              <w:tc>
                <w:tcPr>
                  <w:tcW w:w="765" w:type="dxa"/>
                  <w:tcBorders>
                    <w:tl2br w:val="nil"/>
                    <w:tr2bl w:val="nil"/>
                  </w:tcBorders>
                  <w:vAlign w:val="center"/>
                </w:tcPr>
                <w:p>
                  <w:pPr>
                    <w:pStyle w:val="25"/>
                    <w:jc w:val="center"/>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偶然居留</w:t>
                  </w:r>
                </w:p>
              </w:tc>
              <w:tc>
                <w:tcPr>
                  <w:tcW w:w="1080" w:type="dxa"/>
                  <w:tcBorders>
                    <w:tl2br w:val="nil"/>
                    <w:tr2bl w:val="nil"/>
                  </w:tcBorders>
                  <w:vAlign w:val="center"/>
                </w:tcPr>
                <w:p>
                  <w:pPr>
                    <w:pStyle w:val="25"/>
                    <w:jc w:val="center"/>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1/16</w:t>
                  </w:r>
                </w:p>
              </w:tc>
              <w:tc>
                <w:tcPr>
                  <w:tcW w:w="1290" w:type="dxa"/>
                  <w:tcBorders>
                    <w:tl2br w:val="nil"/>
                    <w:tr2bl w:val="nil"/>
                  </w:tcBorders>
                  <w:vAlign w:val="center"/>
                </w:tcPr>
                <w:p>
                  <w:pPr>
                    <w:pStyle w:val="25"/>
                    <w:jc w:val="center"/>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1/8～1/40</w:t>
                  </w:r>
                </w:p>
              </w:tc>
              <w:tc>
                <w:tcPr>
                  <w:tcW w:w="5595" w:type="dxa"/>
                  <w:tcBorders>
                    <w:tl2br w:val="nil"/>
                    <w:tr2bl w:val="nil"/>
                  </w:tcBorders>
                  <w:vAlign w:val="center"/>
                </w:tcPr>
                <w:p>
                  <w:pPr>
                    <w:pStyle w:val="25"/>
                    <w:jc w:val="both"/>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1/8：各治疗室房门</w:t>
                  </w:r>
                </w:p>
                <w:p>
                  <w:pPr>
                    <w:pStyle w:val="25"/>
                    <w:jc w:val="both"/>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1/20：公厕、自动售货区、储藏室、设有座椅的户外区域、无人护理的候诊室、病人滞留区域、屋顶、门岗室</w:t>
                  </w:r>
                </w:p>
                <w:p>
                  <w:pPr>
                    <w:pStyle w:val="25"/>
                    <w:jc w:val="both"/>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1/40：仅有来往行人车辆的户外区域、无人看管的停车场、车辆自动卸货、卸客区域、楼梯、无人看管的电梯</w:t>
                  </w:r>
                </w:p>
              </w:tc>
            </w:tr>
          </w:tbl>
          <w:p>
            <w:pPr>
              <w:spacing w:line="360" w:lineRule="auto"/>
              <w:ind w:firstLine="480" w:firstLineChars="200"/>
              <w:rPr>
                <w:rFonts w:hint="eastAsia" w:ascii="宋体" w:hAnsi="宋体" w:eastAsia="宋体" w:cs="宋体"/>
                <w:color w:val="0000FF"/>
                <w:highlight w:val="none"/>
              </w:rPr>
            </w:pPr>
            <w:r>
              <w:rPr>
                <w:rFonts w:hint="eastAsia" w:ascii="宋体" w:hAnsi="宋体" w:eastAsia="宋体" w:cs="宋体"/>
                <w:color w:val="auto"/>
                <w:sz w:val="24"/>
                <w:highlight w:val="none"/>
              </w:rPr>
              <w:t>（</w:t>
            </w:r>
            <w:r>
              <w:rPr>
                <w:rFonts w:hint="eastAsia" w:ascii="宋体" w:hAnsi="宋体" w:eastAsia="宋体" w:cs="宋体"/>
                <w:color w:val="auto"/>
                <w:sz w:val="24"/>
                <w:highlight w:val="none"/>
                <w:lang w:val="en-US" w:eastAsia="zh-CN"/>
              </w:rPr>
              <w:t>5</w:t>
            </w:r>
            <w:r>
              <w:rPr>
                <w:rFonts w:hint="eastAsia" w:ascii="宋体" w:hAnsi="宋体" w:eastAsia="宋体" w:cs="宋体"/>
                <w:color w:val="auto"/>
                <w:sz w:val="24"/>
                <w:highlight w:val="none"/>
              </w:rPr>
              <w:t>）《放射治疗机房的辐射屏蔽规范第 1部</w:t>
            </w:r>
            <w:r>
              <w:rPr>
                <w:rFonts w:hint="eastAsia" w:ascii="宋体" w:hAnsi="宋体" w:eastAsia="宋体" w:cs="宋体"/>
                <w:color w:val="auto"/>
                <w:sz w:val="24"/>
                <w:highlight w:val="none"/>
                <w:lang w:eastAsia="zh-CN"/>
              </w:rPr>
              <w:t>分</w:t>
            </w:r>
            <w:r>
              <w:rPr>
                <w:rFonts w:hint="eastAsia" w:ascii="宋体" w:hAnsi="宋体" w:eastAsia="宋体" w:cs="宋体"/>
                <w:color w:val="auto"/>
                <w:sz w:val="24"/>
                <w:highlight w:val="none"/>
              </w:rPr>
              <w:t>：一般原则》（GBZ/T 201.1 －2007）。</w:t>
            </w:r>
          </w:p>
        </w:tc>
      </w:tr>
    </w:tbl>
    <w:p>
      <w:pPr>
        <w:rPr>
          <w:rFonts w:hint="eastAsia" w:ascii="宋体" w:hAnsi="宋体" w:eastAsia="宋体" w:cs="宋体"/>
          <w:color w:val="0000FF"/>
          <w:highlight w:val="none"/>
        </w:rPr>
        <w:sectPr>
          <w:pgSz w:w="11906" w:h="16838"/>
          <w:pgMar w:top="1440" w:right="1588" w:bottom="1440" w:left="1588" w:header="851" w:footer="992" w:gutter="0"/>
          <w:pgBorders>
            <w:top w:val="none" w:sz="0" w:space="0"/>
            <w:left w:val="none" w:sz="0" w:space="0"/>
            <w:bottom w:val="none" w:sz="0" w:space="0"/>
            <w:right w:val="none" w:sz="0" w:space="0"/>
          </w:pgBorders>
          <w:cols w:space="425" w:num="1"/>
          <w:docGrid w:type="lines" w:linePitch="312" w:charSpace="0"/>
        </w:sectPr>
      </w:pPr>
    </w:p>
    <w:p>
      <w:pPr>
        <w:spacing w:line="360" w:lineRule="auto"/>
        <w:outlineLvl w:val="0"/>
        <w:rPr>
          <w:rFonts w:hint="eastAsia" w:ascii="宋体" w:hAnsi="宋体" w:eastAsia="宋体" w:cs="宋体"/>
          <w:b/>
          <w:color w:val="auto"/>
          <w:sz w:val="28"/>
          <w:szCs w:val="28"/>
          <w:highlight w:val="none"/>
        </w:rPr>
      </w:pPr>
      <w:bookmarkStart w:id="7" w:name="_Toc23100"/>
      <w:r>
        <w:rPr>
          <w:rFonts w:hint="eastAsia" w:ascii="宋体" w:hAnsi="宋体" w:eastAsia="宋体" w:cs="宋体"/>
          <w:b/>
          <w:color w:val="auto"/>
          <w:sz w:val="28"/>
          <w:szCs w:val="28"/>
          <w:highlight w:val="none"/>
        </w:rPr>
        <w:t>表8 环境质量和辐射现状</w:t>
      </w:r>
      <w:bookmarkEnd w:id="7"/>
    </w:p>
    <w:tbl>
      <w:tblPr>
        <w:tblStyle w:val="18"/>
        <w:tblW w:w="8522" w:type="dxa"/>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autofit"/>
        <w:tblCellMar>
          <w:top w:w="0" w:type="dxa"/>
          <w:left w:w="108" w:type="dxa"/>
          <w:bottom w:w="0" w:type="dxa"/>
          <w:right w:w="108" w:type="dxa"/>
        </w:tblCellMar>
      </w:tblPr>
      <w:tblGrid>
        <w:gridCol w:w="8946"/>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2402" w:hRule="atLeast"/>
        </w:trPr>
        <w:tc>
          <w:tcPr>
            <w:tcW w:w="8522" w:type="dxa"/>
          </w:tcPr>
          <w:p>
            <w:pPr>
              <w:spacing w:line="360" w:lineRule="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8.1环境质量和辐射现状</w:t>
            </w:r>
          </w:p>
          <w:p>
            <w:pPr>
              <w:spacing w:line="360" w:lineRule="auto"/>
              <w:rPr>
                <w:rFonts w:hint="eastAsia" w:ascii="宋体" w:hAnsi="宋体" w:eastAsia="宋体" w:cs="宋体"/>
                <w:b/>
                <w:color w:val="auto"/>
                <w:sz w:val="24"/>
                <w:highlight w:val="none"/>
              </w:rPr>
            </w:pPr>
            <w:r>
              <w:rPr>
                <w:rFonts w:hint="eastAsia" w:ascii="宋体" w:hAnsi="宋体" w:eastAsia="宋体" w:cs="宋体"/>
                <w:b/>
                <w:color w:val="auto"/>
                <w:kern w:val="0"/>
                <w:sz w:val="24"/>
                <w:highlight w:val="none"/>
              </w:rPr>
              <w:t>8.1.1项目地点</w:t>
            </w:r>
          </w:p>
          <w:p>
            <w:pPr>
              <w:pStyle w:val="25"/>
              <w:spacing w:line="360" w:lineRule="auto"/>
              <w:ind w:firstLine="480" w:firstLineChars="200"/>
              <w:rPr>
                <w:rFonts w:hint="eastAsia" w:ascii="宋体" w:hAnsi="宋体" w:eastAsia="宋体" w:cs="宋体"/>
                <w:color w:val="auto"/>
                <w:sz w:val="24"/>
                <w:highlight w:val="red"/>
              </w:rPr>
            </w:pPr>
            <w:r>
              <w:rPr>
                <w:rFonts w:hint="eastAsia" w:ascii="宋体" w:hAnsi="宋体" w:eastAsia="宋体" w:cs="宋体"/>
                <w:color w:val="auto"/>
                <w:sz w:val="24"/>
                <w:szCs w:val="24"/>
                <w:highlight w:val="none"/>
                <w:lang w:val="en-US" w:eastAsia="zh-CN"/>
              </w:rPr>
              <w:t>双鸭山双矿医院有限公司</w:t>
            </w:r>
            <w:r>
              <w:rPr>
                <w:rFonts w:hint="eastAsia" w:ascii="宋体" w:hAnsi="宋体" w:eastAsia="宋体" w:cs="宋体"/>
                <w:color w:val="auto"/>
                <w:sz w:val="24"/>
                <w:highlight w:val="none"/>
              </w:rPr>
              <w:t>位于</w:t>
            </w:r>
            <w:r>
              <w:rPr>
                <w:rFonts w:hint="eastAsia" w:ascii="宋体" w:hAnsi="宋体" w:eastAsia="宋体" w:cs="宋体"/>
                <w:color w:val="auto"/>
                <w:sz w:val="24"/>
                <w:szCs w:val="24"/>
                <w:highlight w:val="none"/>
                <w:lang w:eastAsia="zh-CN"/>
              </w:rPr>
              <w:t>黑龙江省双鸭山市尖山区新兴大街200号</w:t>
            </w:r>
            <w:r>
              <w:rPr>
                <w:rFonts w:hint="eastAsia" w:ascii="宋体" w:hAnsi="宋体" w:eastAsia="宋体" w:cs="宋体"/>
                <w:color w:val="auto"/>
                <w:sz w:val="24"/>
                <w:highlight w:val="none"/>
              </w:rPr>
              <w:t>，本项目加速器机房位于</w:t>
            </w:r>
            <w:r>
              <w:rPr>
                <w:rFonts w:hint="eastAsia" w:ascii="宋体" w:hAnsi="宋体" w:eastAsia="宋体" w:cs="宋体"/>
                <w:color w:val="auto"/>
                <w:sz w:val="24"/>
                <w:highlight w:val="none"/>
                <w:lang w:val="en-US" w:eastAsia="zh-CN"/>
              </w:rPr>
              <w:t>双鸭山双矿医院有限公司院内新建直线加速器设备机房内，所在建筑为一层的独立建筑</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本项目直线加速器机房位于该独立建筑的西侧一端，加速器机房东侧为走廊、水冷机房、设备机房和室外，南侧为骨科楼放射治疗室，西侧为室外及院内道路，北侧为室外以及综合楼</w:t>
            </w:r>
            <w:r>
              <w:rPr>
                <w:rFonts w:hint="eastAsia" w:ascii="宋体" w:hAnsi="宋体" w:eastAsia="宋体" w:cs="宋体"/>
                <w:color w:val="auto"/>
                <w:sz w:val="24"/>
                <w:highlight w:val="none"/>
              </w:rPr>
              <w:t>。</w:t>
            </w:r>
          </w:p>
          <w:p>
            <w:pPr>
              <w:spacing w:line="360" w:lineRule="auto"/>
              <w:rPr>
                <w:rFonts w:hint="eastAsia" w:ascii="宋体" w:hAnsi="宋体" w:eastAsia="宋体" w:cs="宋体"/>
                <w:b/>
                <w:color w:val="auto"/>
                <w:spacing w:val="16"/>
                <w:sz w:val="24"/>
                <w:highlight w:val="none"/>
              </w:rPr>
            </w:pPr>
            <w:r>
              <w:rPr>
                <w:rFonts w:hint="eastAsia" w:ascii="宋体" w:hAnsi="宋体" w:eastAsia="宋体" w:cs="宋体"/>
                <w:b/>
                <w:color w:val="auto"/>
                <w:spacing w:val="16"/>
                <w:sz w:val="24"/>
                <w:highlight w:val="none"/>
              </w:rPr>
              <w:t>8.1.2</w:t>
            </w:r>
            <w:r>
              <w:rPr>
                <w:rFonts w:hint="eastAsia" w:ascii="宋体" w:hAnsi="宋体" w:eastAsia="宋体" w:cs="宋体"/>
                <w:b/>
                <w:color w:val="auto"/>
                <w:sz w:val="24"/>
                <w:highlight w:val="none"/>
              </w:rPr>
              <w:t>辐射环境本底调查</w:t>
            </w:r>
          </w:p>
          <w:p>
            <w:pPr>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本次监测由取得省技术监督局计量认证资质的单位黑龙江</w:t>
            </w:r>
            <w:r>
              <w:rPr>
                <w:rFonts w:hint="eastAsia" w:ascii="宋体" w:hAnsi="宋体" w:eastAsia="宋体" w:cs="宋体"/>
                <w:color w:val="auto"/>
                <w:kern w:val="0"/>
                <w:sz w:val="24"/>
                <w:highlight w:val="none"/>
                <w:lang w:val="en-US" w:eastAsia="zh-CN"/>
              </w:rPr>
              <w:t>沣淳环保科技</w:t>
            </w:r>
            <w:r>
              <w:rPr>
                <w:rFonts w:hint="eastAsia" w:ascii="宋体" w:hAnsi="宋体" w:eastAsia="宋体" w:cs="宋体"/>
                <w:color w:val="auto"/>
                <w:kern w:val="0"/>
                <w:sz w:val="24"/>
                <w:highlight w:val="none"/>
              </w:rPr>
              <w:t>有限公司进行辐射环境现状监测。</w:t>
            </w:r>
          </w:p>
          <w:p>
            <w:pPr>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（1）监测仪器与监测规范</w:t>
            </w:r>
          </w:p>
          <w:p>
            <w:pPr>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监测仪器各项参数见表8-1。</w:t>
            </w:r>
          </w:p>
          <w:p>
            <w:pPr>
              <w:spacing w:line="240" w:lineRule="auto"/>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表8-1</w:t>
            </w:r>
            <w:r>
              <w:rPr>
                <w:rFonts w:hint="eastAsia" w:ascii="宋体" w:hAnsi="宋体" w:eastAsia="宋体" w:cs="宋体"/>
                <w:b/>
                <w:color w:val="auto"/>
                <w:sz w:val="21"/>
                <w:szCs w:val="21"/>
                <w:highlight w:val="none"/>
                <w:lang w:val="en-US" w:eastAsia="zh-CN"/>
              </w:rPr>
              <w:t>监测</w:t>
            </w:r>
            <w:r>
              <w:rPr>
                <w:rFonts w:hint="eastAsia" w:ascii="宋体" w:hAnsi="宋体" w:eastAsia="宋体" w:cs="宋体"/>
                <w:b/>
                <w:color w:val="auto"/>
                <w:sz w:val="21"/>
                <w:szCs w:val="21"/>
                <w:highlight w:val="none"/>
              </w:rPr>
              <w:t>仪器参数与规范</w:t>
            </w:r>
          </w:p>
          <w:tbl>
            <w:tblPr>
              <w:tblStyle w:val="18"/>
              <w:tblW w:w="5000" w:type="pct"/>
              <w:jc w:val="center"/>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3269"/>
              <w:gridCol w:w="5461"/>
            </w:tblGrid>
            <w:tr>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exact"/>
                <w:jc w:val="center"/>
              </w:trPr>
              <w:tc>
                <w:tcPr>
                  <w:tcW w:w="3051" w:type="dxa"/>
                  <w:vAlign w:val="center"/>
                </w:tcPr>
                <w:p>
                  <w:pPr>
                    <w:spacing w:line="240" w:lineRule="auto"/>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仪器名称</w:t>
                  </w:r>
                </w:p>
              </w:tc>
              <w:tc>
                <w:tcPr>
                  <w:tcW w:w="5098" w:type="dxa"/>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b w:val="0"/>
                      <w:bCs w:val="0"/>
                      <w:color w:val="auto"/>
                      <w:sz w:val="21"/>
                      <w:szCs w:val="21"/>
                    </w:rPr>
                    <w:t>环境监测用X、γ辐射空气比释动能率仪</w:t>
                  </w:r>
                </w:p>
              </w:tc>
            </w:tr>
            <w:tr>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exact"/>
                <w:jc w:val="center"/>
              </w:trPr>
              <w:tc>
                <w:tcPr>
                  <w:tcW w:w="3051" w:type="dxa"/>
                  <w:vAlign w:val="center"/>
                </w:tcPr>
                <w:p>
                  <w:pPr>
                    <w:spacing w:line="240" w:lineRule="auto"/>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型号</w:t>
                  </w:r>
                </w:p>
              </w:tc>
              <w:tc>
                <w:tcPr>
                  <w:tcW w:w="5098" w:type="dxa"/>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lang w:val="en-US" w:eastAsia="zh-CN"/>
                    </w:rPr>
                    <w:t>P</w:t>
                  </w:r>
                  <w:r>
                    <w:rPr>
                      <w:rFonts w:hint="eastAsia" w:ascii="宋体" w:hAnsi="宋体" w:eastAsia="宋体" w:cs="宋体"/>
                      <w:b w:val="0"/>
                      <w:bCs w:val="0"/>
                      <w:color w:val="auto"/>
                      <w:sz w:val="21"/>
                      <w:szCs w:val="21"/>
                    </w:rPr>
                    <w:t>N98</w:t>
                  </w:r>
                </w:p>
              </w:tc>
            </w:tr>
            <w:tr>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exact"/>
                <w:jc w:val="center"/>
              </w:trPr>
              <w:tc>
                <w:tcPr>
                  <w:tcW w:w="3051" w:type="dxa"/>
                  <w:vAlign w:val="center"/>
                </w:tcPr>
                <w:p>
                  <w:pPr>
                    <w:spacing w:line="240" w:lineRule="auto"/>
                    <w:jc w:val="center"/>
                    <w:rPr>
                      <w:rFonts w:hint="eastAsia" w:ascii="宋体" w:hAnsi="宋体" w:eastAsia="宋体" w:cs="宋体"/>
                      <w:b/>
                      <w:color w:val="auto"/>
                      <w:sz w:val="21"/>
                      <w:szCs w:val="21"/>
                      <w:highlight w:val="none"/>
                      <w:lang w:val="en-US" w:eastAsia="zh-CN"/>
                    </w:rPr>
                  </w:pPr>
                  <w:r>
                    <w:rPr>
                      <w:rFonts w:hint="eastAsia" w:ascii="宋体" w:hAnsi="宋体" w:eastAsia="宋体" w:cs="宋体"/>
                      <w:b/>
                      <w:color w:val="auto"/>
                      <w:sz w:val="21"/>
                      <w:szCs w:val="21"/>
                      <w:highlight w:val="none"/>
                      <w:lang w:val="en-US" w:eastAsia="zh-CN"/>
                    </w:rPr>
                    <w:t>生产厂家</w:t>
                  </w:r>
                </w:p>
              </w:tc>
              <w:tc>
                <w:tcPr>
                  <w:tcW w:w="5098" w:type="dxa"/>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上海何亦仪器仪表有限公司</w:t>
                  </w:r>
                </w:p>
              </w:tc>
            </w:tr>
            <w:tr>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exact"/>
                <w:jc w:val="center"/>
              </w:trPr>
              <w:tc>
                <w:tcPr>
                  <w:tcW w:w="3051" w:type="dxa"/>
                  <w:vAlign w:val="center"/>
                </w:tcPr>
                <w:p>
                  <w:pPr>
                    <w:spacing w:line="240" w:lineRule="auto"/>
                    <w:jc w:val="center"/>
                    <w:rPr>
                      <w:rFonts w:hint="eastAsia" w:ascii="宋体" w:hAnsi="宋体" w:eastAsia="宋体" w:cs="宋体"/>
                      <w:b/>
                      <w:color w:val="auto"/>
                      <w:sz w:val="21"/>
                      <w:szCs w:val="21"/>
                      <w:highlight w:val="none"/>
                      <w:lang w:val="en-US" w:eastAsia="zh-CN"/>
                    </w:rPr>
                  </w:pPr>
                  <w:r>
                    <w:rPr>
                      <w:rFonts w:hint="eastAsia" w:ascii="宋体" w:hAnsi="宋体" w:eastAsia="宋体" w:cs="宋体"/>
                      <w:b/>
                      <w:color w:val="auto"/>
                      <w:sz w:val="21"/>
                      <w:szCs w:val="21"/>
                      <w:highlight w:val="none"/>
                      <w:lang w:val="en-US" w:eastAsia="zh-CN"/>
                    </w:rPr>
                    <w:t>能量响应</w:t>
                  </w:r>
                </w:p>
              </w:tc>
              <w:tc>
                <w:tcPr>
                  <w:tcW w:w="5098" w:type="dxa"/>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20KeV~7MeV</w:t>
                  </w:r>
                </w:p>
              </w:tc>
            </w:tr>
            <w:tr>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exact"/>
                <w:jc w:val="center"/>
              </w:trPr>
              <w:tc>
                <w:tcPr>
                  <w:tcW w:w="3051" w:type="dxa"/>
                  <w:vAlign w:val="center"/>
                </w:tcPr>
                <w:p>
                  <w:pPr>
                    <w:spacing w:line="240" w:lineRule="auto"/>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检定单位</w:t>
                  </w:r>
                </w:p>
              </w:tc>
              <w:tc>
                <w:tcPr>
                  <w:tcW w:w="5098" w:type="dxa"/>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上海市计量测试技术研究院华东国家计量测试中心</w:t>
                  </w:r>
                </w:p>
              </w:tc>
            </w:tr>
            <w:tr>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exact"/>
                <w:jc w:val="center"/>
              </w:trPr>
              <w:tc>
                <w:tcPr>
                  <w:tcW w:w="3051" w:type="dxa"/>
                  <w:vAlign w:val="center"/>
                </w:tcPr>
                <w:p>
                  <w:pPr>
                    <w:spacing w:line="240" w:lineRule="auto"/>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响应时间</w:t>
                  </w:r>
                </w:p>
              </w:tc>
              <w:tc>
                <w:tcPr>
                  <w:tcW w:w="5098" w:type="dxa"/>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1s</w:t>
                  </w:r>
                </w:p>
              </w:tc>
            </w:tr>
            <w:tr>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exact"/>
                <w:jc w:val="center"/>
              </w:trPr>
              <w:tc>
                <w:tcPr>
                  <w:tcW w:w="3051" w:type="dxa"/>
                  <w:vAlign w:val="center"/>
                </w:tcPr>
                <w:p>
                  <w:pPr>
                    <w:spacing w:line="240" w:lineRule="auto"/>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修正因子</w:t>
                  </w:r>
                </w:p>
              </w:tc>
              <w:tc>
                <w:tcPr>
                  <w:tcW w:w="5098" w:type="dxa"/>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1.01</w:t>
                  </w:r>
                </w:p>
              </w:tc>
            </w:tr>
            <w:tr>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exact"/>
                <w:jc w:val="center"/>
              </w:trPr>
              <w:tc>
                <w:tcPr>
                  <w:tcW w:w="3051" w:type="dxa"/>
                  <w:vAlign w:val="center"/>
                </w:tcPr>
                <w:p>
                  <w:pPr>
                    <w:spacing w:line="240" w:lineRule="auto"/>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检定有效期</w:t>
                  </w:r>
                </w:p>
              </w:tc>
              <w:tc>
                <w:tcPr>
                  <w:tcW w:w="5098" w:type="dxa"/>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202</w:t>
                  </w: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rPr>
                    <w:t>年</w:t>
                  </w:r>
                  <w:r>
                    <w:rPr>
                      <w:rFonts w:hint="eastAsia" w:ascii="宋体" w:hAnsi="宋体" w:eastAsia="宋体" w:cs="宋体"/>
                      <w:color w:val="auto"/>
                      <w:sz w:val="21"/>
                      <w:szCs w:val="21"/>
                      <w:highlight w:val="none"/>
                      <w:lang w:val="en-US" w:eastAsia="zh-CN"/>
                    </w:rPr>
                    <w:t>6</w:t>
                  </w:r>
                  <w:r>
                    <w:rPr>
                      <w:rFonts w:hint="eastAsia" w:ascii="宋体" w:hAnsi="宋体" w:eastAsia="宋体" w:cs="宋体"/>
                      <w:color w:val="auto"/>
                      <w:sz w:val="21"/>
                      <w:szCs w:val="21"/>
                      <w:highlight w:val="none"/>
                    </w:rPr>
                    <w:t>月</w:t>
                  </w:r>
                  <w:r>
                    <w:rPr>
                      <w:rFonts w:hint="eastAsia" w:ascii="宋体" w:hAnsi="宋体" w:eastAsia="宋体" w:cs="宋体"/>
                      <w:color w:val="auto"/>
                      <w:sz w:val="21"/>
                      <w:szCs w:val="21"/>
                      <w:highlight w:val="none"/>
                      <w:lang w:val="en-US" w:eastAsia="zh-CN"/>
                    </w:rPr>
                    <w:t>15</w:t>
                  </w:r>
                  <w:r>
                    <w:rPr>
                      <w:rFonts w:hint="eastAsia" w:ascii="宋体" w:hAnsi="宋体" w:eastAsia="宋体" w:cs="宋体"/>
                      <w:color w:val="auto"/>
                      <w:sz w:val="21"/>
                      <w:szCs w:val="21"/>
                      <w:highlight w:val="none"/>
                    </w:rPr>
                    <w:t>日</w:t>
                  </w:r>
                </w:p>
              </w:tc>
            </w:tr>
            <w:tr>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680" w:hRule="exact"/>
                <w:jc w:val="center"/>
              </w:trPr>
              <w:tc>
                <w:tcPr>
                  <w:tcW w:w="3051" w:type="dxa"/>
                  <w:vAlign w:val="center"/>
                </w:tcPr>
                <w:p>
                  <w:pPr>
                    <w:spacing w:line="240" w:lineRule="auto"/>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lang w:val="en-US" w:eastAsia="zh-CN"/>
                    </w:rPr>
                    <w:t>监测</w:t>
                  </w:r>
                  <w:r>
                    <w:rPr>
                      <w:rFonts w:hint="eastAsia" w:ascii="宋体" w:hAnsi="宋体" w:eastAsia="宋体" w:cs="宋体"/>
                      <w:b/>
                      <w:color w:val="auto"/>
                      <w:sz w:val="21"/>
                      <w:szCs w:val="21"/>
                      <w:highlight w:val="none"/>
                    </w:rPr>
                    <w:t>规范</w:t>
                  </w:r>
                </w:p>
              </w:tc>
              <w:tc>
                <w:tcPr>
                  <w:tcW w:w="5098" w:type="dxa"/>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iCs/>
                      <w:color w:val="auto"/>
                      <w:sz w:val="21"/>
                      <w:szCs w:val="21"/>
                      <w:highlight w:val="none"/>
                    </w:rPr>
                    <w:t>《环境γ辐射剂量率测量技术规范》（HJ1157-2021）《辐射环境监测技术规范》（HJ61-20</w:t>
                  </w:r>
                  <w:r>
                    <w:rPr>
                      <w:rFonts w:hint="eastAsia" w:ascii="宋体" w:hAnsi="宋体" w:eastAsia="宋体" w:cs="宋体"/>
                      <w:iCs/>
                      <w:color w:val="auto"/>
                      <w:sz w:val="21"/>
                      <w:szCs w:val="21"/>
                      <w:highlight w:val="none"/>
                      <w:lang w:val="en-US" w:eastAsia="zh-CN"/>
                    </w:rPr>
                    <w:t>2</w:t>
                  </w:r>
                  <w:r>
                    <w:rPr>
                      <w:rFonts w:hint="eastAsia" w:ascii="宋体" w:hAnsi="宋体" w:eastAsia="宋体" w:cs="宋体"/>
                      <w:iCs/>
                      <w:color w:val="auto"/>
                      <w:sz w:val="21"/>
                      <w:szCs w:val="21"/>
                      <w:highlight w:val="none"/>
                    </w:rPr>
                    <w:t>1）</w:t>
                  </w:r>
                </w:p>
              </w:tc>
            </w:tr>
          </w:tbl>
          <w:p>
            <w:pPr>
              <w:numPr>
                <w:ilvl w:val="0"/>
                <w:numId w:val="3"/>
              </w:numPr>
              <w:spacing w:line="360" w:lineRule="auto"/>
              <w:ind w:firstLine="480" w:firstLineChars="200"/>
              <w:jc w:val="left"/>
              <w:rPr>
                <w:rFonts w:hint="eastAsia" w:ascii="宋体" w:hAnsi="宋体" w:eastAsia="宋体" w:cs="宋体"/>
                <w:color w:val="auto"/>
                <w:sz w:val="24"/>
                <w:highlight w:val="none"/>
              </w:rPr>
            </w:pPr>
            <w:r>
              <w:rPr>
                <w:rFonts w:hint="eastAsia" w:ascii="宋体" w:hAnsi="宋体" w:eastAsia="宋体" w:cs="宋体"/>
                <w:color w:val="auto"/>
                <w:kern w:val="0"/>
                <w:sz w:val="24"/>
                <w:highlight w:val="none"/>
              </w:rPr>
              <w:t>评价对象：拟建加速器工作场所及周围辐射环境</w:t>
            </w:r>
          </w:p>
          <w:p>
            <w:pPr>
              <w:numPr>
                <w:ilvl w:val="0"/>
                <w:numId w:val="3"/>
              </w:numPr>
              <w:spacing w:line="360" w:lineRule="auto"/>
              <w:ind w:firstLine="480" w:firstLineChars="200"/>
              <w:jc w:val="left"/>
              <w:rPr>
                <w:rFonts w:hint="eastAsia" w:ascii="宋体" w:hAnsi="宋体" w:eastAsia="宋体" w:cs="宋体"/>
                <w:color w:val="auto"/>
                <w:sz w:val="24"/>
                <w:highlight w:val="none"/>
              </w:rPr>
            </w:pPr>
            <w:r>
              <w:rPr>
                <w:rFonts w:hint="eastAsia" w:ascii="宋体" w:hAnsi="宋体" w:eastAsia="宋体" w:cs="宋体"/>
                <w:color w:val="auto"/>
                <w:kern w:val="0"/>
                <w:sz w:val="24"/>
                <w:highlight w:val="none"/>
              </w:rPr>
              <w:t>监测因子：</w:t>
            </w:r>
            <w:r>
              <w:rPr>
                <w:rFonts w:hint="eastAsia" w:ascii="宋体" w:hAnsi="宋体" w:eastAsia="宋体" w:cs="宋体"/>
                <w:iCs/>
                <w:color w:val="auto"/>
                <w:kern w:val="0"/>
                <w:sz w:val="24"/>
                <w:highlight w:val="none"/>
              </w:rPr>
              <w:t>γ</w:t>
            </w:r>
            <w:r>
              <w:rPr>
                <w:rFonts w:hint="eastAsia" w:ascii="宋体" w:hAnsi="宋体" w:eastAsia="宋体" w:cs="宋体"/>
                <w:color w:val="auto"/>
                <w:sz w:val="24"/>
                <w:highlight w:val="none"/>
              </w:rPr>
              <w:t>辐射空气吸收剂量率</w:t>
            </w:r>
          </w:p>
          <w:p>
            <w:pPr>
              <w:pStyle w:val="25"/>
              <w:spacing w:line="360" w:lineRule="auto"/>
              <w:ind w:firstLine="480" w:firstLineChars="200"/>
              <w:rPr>
                <w:rFonts w:hint="eastAsia" w:ascii="宋体" w:hAnsi="宋体" w:eastAsia="宋体" w:cs="宋体"/>
                <w:color w:val="auto"/>
                <w:highlight w:val="none"/>
              </w:rPr>
            </w:pPr>
            <w:r>
              <w:rPr>
                <w:rFonts w:hint="eastAsia" w:ascii="宋体" w:hAnsi="宋体" w:eastAsia="宋体" w:cs="宋体"/>
                <w:color w:val="auto"/>
                <w:highlight w:val="none"/>
              </w:rPr>
              <w:t>（4）监测点位布设</w:t>
            </w:r>
          </w:p>
          <w:p>
            <w:pPr>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本项目对拟建加速器机房所在区域</w:t>
            </w:r>
            <w:r>
              <w:rPr>
                <w:rFonts w:hint="eastAsia" w:ascii="宋体" w:hAnsi="宋体" w:eastAsia="宋体" w:cs="宋体"/>
                <w:color w:val="auto"/>
                <w:kern w:val="0"/>
                <w:sz w:val="24"/>
                <w:highlight w:val="none"/>
                <w:lang w:val="en-US" w:eastAsia="zh-CN"/>
              </w:rPr>
              <w:t>进行</w:t>
            </w:r>
            <w:r>
              <w:rPr>
                <w:rFonts w:hint="eastAsia" w:ascii="宋体" w:hAnsi="宋体" w:eastAsia="宋体" w:cs="宋体"/>
                <w:color w:val="auto"/>
                <w:kern w:val="0"/>
                <w:sz w:val="24"/>
                <w:highlight w:val="none"/>
              </w:rPr>
              <w:t>布点监测</w:t>
            </w: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lang w:val="en-US" w:eastAsia="zh-CN"/>
              </w:rPr>
              <w:t>由于本项目</w:t>
            </w:r>
            <w:r>
              <w:rPr>
                <w:rFonts w:hint="eastAsia" w:ascii="宋体" w:hAnsi="宋体" w:eastAsia="宋体" w:cs="宋体"/>
                <w:color w:val="auto"/>
                <w:sz w:val="24"/>
                <w:highlight w:val="none"/>
                <w:lang w:val="en-US" w:eastAsia="zh-CN"/>
              </w:rPr>
              <w:t>直线加速器机房尚未建设，因此本项目针对直线加速器机房拟建位置进行监测布点，对于加速器机房楼上则无法进行监测布点，</w:t>
            </w:r>
            <w:r>
              <w:rPr>
                <w:rFonts w:hint="eastAsia" w:ascii="宋体" w:hAnsi="宋体" w:eastAsia="宋体" w:cs="宋体"/>
                <w:color w:val="auto"/>
                <w:kern w:val="0"/>
                <w:sz w:val="24"/>
                <w:highlight w:val="none"/>
                <w:lang w:val="en-US" w:eastAsia="zh-CN"/>
              </w:rPr>
              <w:t>周围敏感目标处在靠近本项目机房一侧布点</w:t>
            </w:r>
            <w:r>
              <w:rPr>
                <w:rFonts w:hint="eastAsia" w:ascii="宋体" w:hAnsi="宋体" w:eastAsia="宋体" w:cs="宋体"/>
                <w:color w:val="auto"/>
                <w:kern w:val="0"/>
                <w:sz w:val="24"/>
                <w:highlight w:val="none"/>
              </w:rPr>
              <w:t>。</w:t>
            </w:r>
          </w:p>
          <w:p>
            <w:pPr>
              <w:spacing w:line="360" w:lineRule="auto"/>
              <w:ind w:leftChars="0" w:firstLine="480" w:firstLineChars="200"/>
              <w:jc w:val="left"/>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lang w:val="en-US" w:eastAsia="zh-CN"/>
              </w:rPr>
              <w:t>5</w:t>
            </w: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lang w:val="en-US" w:eastAsia="zh-CN"/>
              </w:rPr>
              <w:t>监测时间</w:t>
            </w:r>
          </w:p>
          <w:p>
            <w:pPr>
              <w:pStyle w:val="25"/>
              <w:spacing w:line="360" w:lineRule="auto"/>
              <w:ind w:leftChars="0" w:firstLine="480" w:firstLineChars="200"/>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2023年12月1日。</w:t>
            </w:r>
          </w:p>
          <w:p>
            <w:pPr>
              <w:spacing w:line="360" w:lineRule="auto"/>
              <w:ind w:leftChars="0"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lang w:val="en-US" w:eastAsia="zh-CN"/>
              </w:rPr>
              <w:t>6</w:t>
            </w: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rPr>
              <w:t>监测方法</w:t>
            </w:r>
          </w:p>
          <w:p>
            <w:pPr>
              <w:spacing w:line="360" w:lineRule="auto"/>
              <w:ind w:leftChars="0" w:firstLine="480" w:firstLineChars="200"/>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利用环境监测用X、γ辐射空气比释动能率仪进行辐射环境现状监测，探头距地表1m高，每个测点测量10个数，取其平均值为该点测量值。</w:t>
            </w:r>
          </w:p>
          <w:p>
            <w:pPr>
              <w:spacing w:line="360" w:lineRule="auto"/>
              <w:ind w:leftChars="0"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7</w:t>
            </w: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rPr>
              <w:t>质量保证措施</w:t>
            </w:r>
          </w:p>
          <w:p>
            <w:pPr>
              <w:spacing w:line="360" w:lineRule="auto"/>
              <w:ind w:leftChars="0"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①合理布设监测点位，保证各监测点位布设的科学性和可比性。</w:t>
            </w:r>
          </w:p>
          <w:p>
            <w:pPr>
              <w:spacing w:line="360" w:lineRule="auto"/>
              <w:ind w:leftChars="0"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②监测方法采用国家有关部门颁布的技术规范进行监测，监测人员经考核并持有合格证书上岗。</w:t>
            </w:r>
          </w:p>
          <w:p>
            <w:pPr>
              <w:spacing w:line="360" w:lineRule="auto"/>
              <w:ind w:leftChars="0"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③监测仪器每年定期经计量部门检定，检定合格后方可使用。</w:t>
            </w:r>
          </w:p>
          <w:p>
            <w:pPr>
              <w:spacing w:line="360" w:lineRule="auto"/>
              <w:ind w:leftChars="0"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④每次测量前、后均检查仪器的工作状态是否正常，并用检验源对仪器进行校验。</w:t>
            </w:r>
          </w:p>
          <w:p>
            <w:pPr>
              <w:spacing w:line="360" w:lineRule="auto"/>
              <w:ind w:leftChars="0"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⑤由专业人员按操作规程操作仪器，并做好记录。</w:t>
            </w:r>
          </w:p>
          <w:p>
            <w:pPr>
              <w:numPr>
                <w:ilvl w:val="0"/>
                <w:numId w:val="0"/>
              </w:numPr>
              <w:autoSpaceDE w:val="0"/>
              <w:autoSpaceDN w:val="0"/>
              <w:adjustRightInd w:val="0"/>
              <w:spacing w:line="360" w:lineRule="auto"/>
              <w:ind w:leftChars="0" w:firstLine="0" w:firstLineChars="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lang w:val="en-US" w:eastAsia="zh-CN"/>
              </w:rPr>
              <w:t>8</w:t>
            </w: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rPr>
              <w:t>监测结果与评价</w:t>
            </w:r>
          </w:p>
          <w:p>
            <w:pPr>
              <w:spacing w:line="360" w:lineRule="auto"/>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表8-2</w:t>
            </w:r>
            <w:r>
              <w:rPr>
                <w:rFonts w:hint="eastAsia" w:ascii="宋体" w:hAnsi="宋体" w:eastAsia="宋体" w:cs="宋体"/>
                <w:color w:val="auto"/>
                <w:sz w:val="21"/>
                <w:szCs w:val="21"/>
                <w:highlight w:val="none"/>
              </w:rPr>
              <w:t xml:space="preserve"> </w:t>
            </w:r>
            <w:r>
              <w:rPr>
                <w:rFonts w:hint="eastAsia" w:ascii="宋体" w:hAnsi="宋体" w:eastAsia="宋体" w:cs="宋体"/>
                <w:b/>
                <w:color w:val="auto"/>
                <w:sz w:val="21"/>
                <w:szCs w:val="21"/>
                <w:highlight w:val="none"/>
              </w:rPr>
              <w:t>γ辐射空气吸收剂量率监测结果</w:t>
            </w:r>
          </w:p>
          <w:p>
            <w:pPr>
              <w:ind w:right="315"/>
              <w:jc w:val="righ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单位：μGy/h</w:t>
            </w:r>
          </w:p>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3"/>
              <w:gridCol w:w="3535"/>
              <w:gridCol w:w="900"/>
              <w:gridCol w:w="900"/>
              <w:gridCol w:w="900"/>
              <w:gridCol w:w="8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4968" w:type="dxa"/>
                  <w:gridSpan w:val="2"/>
                  <w:vMerge w:val="restart"/>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监测点位置</w:t>
                  </w:r>
                </w:p>
              </w:tc>
              <w:tc>
                <w:tcPr>
                  <w:tcW w:w="1800" w:type="dxa"/>
                  <w:gridSpan w:val="2"/>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R</w:t>
                  </w:r>
                </w:p>
              </w:tc>
              <w:tc>
                <w:tcPr>
                  <w:tcW w:w="900" w:type="dxa"/>
                  <w:vMerge w:val="restart"/>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平均值</w:t>
                  </w:r>
                </w:p>
              </w:tc>
              <w:tc>
                <w:tcPr>
                  <w:tcW w:w="854" w:type="dxa"/>
                  <w:vMerge w:val="restart"/>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标准差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4968" w:type="dxa"/>
                  <w:gridSpan w:val="2"/>
                  <w:vMerge w:val="continue"/>
                  <w:noWrap w:val="0"/>
                  <w:vAlign w:val="center"/>
                </w:tcPr>
                <w:p>
                  <w:pPr>
                    <w:spacing w:line="240" w:lineRule="auto"/>
                    <w:jc w:val="center"/>
                    <w:rPr>
                      <w:rFonts w:hint="eastAsia" w:ascii="宋体" w:hAnsi="宋体" w:eastAsia="宋体" w:cs="宋体"/>
                      <w:sz w:val="21"/>
                      <w:szCs w:val="21"/>
                    </w:rPr>
                  </w:pPr>
                </w:p>
              </w:tc>
              <w:tc>
                <w:tcPr>
                  <w:tcW w:w="900"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min</w:t>
                  </w:r>
                </w:p>
              </w:tc>
              <w:tc>
                <w:tcPr>
                  <w:tcW w:w="900"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max</w:t>
                  </w:r>
                </w:p>
              </w:tc>
              <w:tc>
                <w:tcPr>
                  <w:tcW w:w="900" w:type="dxa"/>
                  <w:vMerge w:val="continue"/>
                  <w:noWrap w:val="0"/>
                  <w:vAlign w:val="center"/>
                </w:tcPr>
                <w:p>
                  <w:pPr>
                    <w:spacing w:line="240" w:lineRule="auto"/>
                    <w:jc w:val="center"/>
                    <w:rPr>
                      <w:rFonts w:hint="eastAsia" w:ascii="宋体" w:hAnsi="宋体" w:eastAsia="宋体" w:cs="宋体"/>
                      <w:sz w:val="21"/>
                      <w:szCs w:val="21"/>
                    </w:rPr>
                  </w:pPr>
                </w:p>
              </w:tc>
              <w:tc>
                <w:tcPr>
                  <w:tcW w:w="854" w:type="dxa"/>
                  <w:vMerge w:val="continue"/>
                  <w:noWrap w:val="0"/>
                  <w:vAlign w:val="center"/>
                </w:tcPr>
                <w:p>
                  <w:pPr>
                    <w:spacing w:line="240" w:lineRule="auto"/>
                    <w:jc w:val="center"/>
                    <w:rPr>
                      <w:rFonts w:hint="eastAsia"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433" w:type="dxa"/>
                  <w:vMerge w:val="restart"/>
                  <w:noWrap w:val="0"/>
                  <w:vAlign w:val="center"/>
                </w:tcPr>
                <w:p>
                  <w:pPr>
                    <w:spacing w:line="240" w:lineRule="auto"/>
                    <w:jc w:val="center"/>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加速器</w:t>
                  </w:r>
                </w:p>
              </w:tc>
              <w:tc>
                <w:tcPr>
                  <w:tcW w:w="3535" w:type="dxa"/>
                  <w:noWrap w:val="0"/>
                  <w:vAlign w:val="center"/>
                </w:tcPr>
                <w:p>
                  <w:pPr>
                    <w:spacing w:line="240" w:lineRule="auto"/>
                    <w:jc w:val="left"/>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w:t>
                  </w:r>
                  <w:r>
                    <w:rPr>
                      <w:rFonts w:hint="eastAsia" w:ascii="宋体" w:hAnsi="宋体" w:eastAsia="宋体" w:cs="宋体"/>
                      <w:color w:val="auto"/>
                      <w:sz w:val="21"/>
                      <w:szCs w:val="21"/>
                      <w:lang w:val="zh-CN" w:eastAsia="zh-CN"/>
                    </w:rPr>
                    <w:t>*</w:t>
                  </w:r>
                  <w:r>
                    <w:rPr>
                      <w:rFonts w:hint="eastAsia" w:ascii="宋体" w:hAnsi="宋体" w:eastAsia="宋体" w:cs="宋体"/>
                      <w:color w:val="auto"/>
                      <w:sz w:val="21"/>
                      <w:szCs w:val="21"/>
                      <w:highlight w:val="none"/>
                      <w:lang w:val="en-US" w:eastAsia="zh-CN"/>
                    </w:rPr>
                    <w:t>监测点</w:t>
                  </w:r>
                </w:p>
              </w:tc>
              <w:tc>
                <w:tcPr>
                  <w:tcW w:w="900" w:type="dxa"/>
                  <w:noWrap w:val="0"/>
                  <w:vAlign w:val="center"/>
                </w:tcPr>
                <w:p>
                  <w:pPr>
                    <w:spacing w:line="240" w:lineRule="auto"/>
                    <w:jc w:val="center"/>
                    <w:rPr>
                      <w:rFonts w:hint="eastAsia" w:ascii="宋体" w:hAnsi="宋体" w:eastAsia="宋体" w:cs="宋体"/>
                      <w:sz w:val="21"/>
                      <w:szCs w:val="21"/>
                      <w:lang w:eastAsia="zh-CN"/>
                    </w:rPr>
                  </w:pPr>
                  <w:r>
                    <w:rPr>
                      <w:rFonts w:hint="eastAsia" w:ascii="宋体" w:hAnsi="宋体" w:eastAsia="宋体" w:cs="宋体"/>
                      <w:sz w:val="21"/>
                      <w:szCs w:val="21"/>
                    </w:rPr>
                    <w:t>0.10</w:t>
                  </w:r>
                </w:p>
              </w:tc>
              <w:tc>
                <w:tcPr>
                  <w:tcW w:w="900" w:type="dxa"/>
                  <w:noWrap w:val="0"/>
                  <w:vAlign w:val="center"/>
                </w:tcPr>
                <w:p>
                  <w:pPr>
                    <w:spacing w:line="240" w:lineRule="auto"/>
                    <w:jc w:val="center"/>
                    <w:rPr>
                      <w:rFonts w:hint="eastAsia" w:ascii="宋体" w:hAnsi="宋体" w:eastAsia="宋体" w:cs="宋体"/>
                      <w:sz w:val="21"/>
                      <w:szCs w:val="21"/>
                      <w:lang w:eastAsia="zh-CN"/>
                    </w:rPr>
                  </w:pPr>
                  <w:r>
                    <w:rPr>
                      <w:rFonts w:hint="eastAsia" w:ascii="宋体" w:hAnsi="宋体" w:eastAsia="宋体" w:cs="宋体"/>
                      <w:sz w:val="21"/>
                      <w:szCs w:val="21"/>
                    </w:rPr>
                    <w:t>0.11</w:t>
                  </w:r>
                </w:p>
              </w:tc>
              <w:tc>
                <w:tcPr>
                  <w:tcW w:w="900" w:type="dxa"/>
                  <w:noWrap w:val="0"/>
                  <w:vAlign w:val="center"/>
                </w:tcPr>
                <w:p>
                  <w:pPr>
                    <w:spacing w:line="240" w:lineRule="auto"/>
                    <w:jc w:val="center"/>
                    <w:rPr>
                      <w:rFonts w:hint="eastAsia" w:ascii="宋体" w:hAnsi="宋体" w:eastAsia="宋体" w:cs="宋体"/>
                      <w:sz w:val="21"/>
                      <w:szCs w:val="21"/>
                      <w:lang w:eastAsia="zh-CN"/>
                    </w:rPr>
                  </w:pPr>
                  <w:r>
                    <w:rPr>
                      <w:rFonts w:hint="eastAsia" w:ascii="宋体" w:hAnsi="宋体" w:eastAsia="宋体" w:cs="宋体"/>
                      <w:sz w:val="21"/>
                      <w:szCs w:val="21"/>
                    </w:rPr>
                    <w:t>0.11</w:t>
                  </w:r>
                </w:p>
              </w:tc>
              <w:tc>
                <w:tcPr>
                  <w:tcW w:w="854"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433" w:type="dxa"/>
                  <w:vMerge w:val="continue"/>
                  <w:noWrap w:val="0"/>
                  <w:vAlign w:val="center"/>
                </w:tcPr>
                <w:p>
                  <w:pPr>
                    <w:spacing w:line="240" w:lineRule="auto"/>
                    <w:jc w:val="center"/>
                    <w:rPr>
                      <w:rFonts w:hint="eastAsia" w:ascii="宋体" w:hAnsi="宋体" w:eastAsia="宋体" w:cs="宋体"/>
                      <w:sz w:val="21"/>
                      <w:szCs w:val="21"/>
                    </w:rPr>
                  </w:pPr>
                </w:p>
              </w:tc>
              <w:tc>
                <w:tcPr>
                  <w:tcW w:w="3535" w:type="dxa"/>
                  <w:noWrap w:val="0"/>
                  <w:vAlign w:val="center"/>
                </w:tcPr>
                <w:p>
                  <w:pPr>
                    <w:spacing w:line="240" w:lineRule="auto"/>
                    <w:jc w:val="left"/>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w:t>
                  </w:r>
                  <w:r>
                    <w:rPr>
                      <w:rFonts w:hint="eastAsia" w:ascii="宋体" w:hAnsi="宋体" w:eastAsia="宋体" w:cs="宋体"/>
                      <w:color w:val="auto"/>
                      <w:sz w:val="21"/>
                      <w:szCs w:val="21"/>
                      <w:lang w:val="zh-CN" w:eastAsia="zh-CN"/>
                    </w:rPr>
                    <w:t>*</w:t>
                  </w:r>
                  <w:r>
                    <w:rPr>
                      <w:rFonts w:hint="eastAsia" w:ascii="宋体" w:hAnsi="宋体" w:eastAsia="宋体" w:cs="宋体"/>
                      <w:color w:val="auto"/>
                      <w:sz w:val="21"/>
                      <w:szCs w:val="21"/>
                      <w:highlight w:val="none"/>
                      <w:lang w:val="en-US" w:eastAsia="zh-CN"/>
                    </w:rPr>
                    <w:t>监测点</w:t>
                  </w:r>
                </w:p>
              </w:tc>
              <w:tc>
                <w:tcPr>
                  <w:tcW w:w="900" w:type="dxa"/>
                  <w:noWrap w:val="0"/>
                  <w:vAlign w:val="center"/>
                </w:tcPr>
                <w:p>
                  <w:pPr>
                    <w:spacing w:line="240" w:lineRule="auto"/>
                    <w:jc w:val="center"/>
                    <w:rPr>
                      <w:rFonts w:hint="eastAsia" w:ascii="宋体" w:hAnsi="宋体" w:eastAsia="宋体" w:cs="宋体"/>
                      <w:sz w:val="21"/>
                      <w:szCs w:val="21"/>
                      <w:lang w:eastAsia="zh-CN"/>
                    </w:rPr>
                  </w:pPr>
                  <w:r>
                    <w:rPr>
                      <w:rFonts w:hint="eastAsia" w:ascii="宋体" w:hAnsi="宋体" w:eastAsia="宋体" w:cs="宋体"/>
                      <w:sz w:val="21"/>
                      <w:szCs w:val="21"/>
                    </w:rPr>
                    <w:t>0.10</w:t>
                  </w:r>
                </w:p>
              </w:tc>
              <w:tc>
                <w:tcPr>
                  <w:tcW w:w="900"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0.11</w:t>
                  </w:r>
                </w:p>
              </w:tc>
              <w:tc>
                <w:tcPr>
                  <w:tcW w:w="900" w:type="dxa"/>
                  <w:noWrap w:val="0"/>
                  <w:vAlign w:val="center"/>
                </w:tcPr>
                <w:p>
                  <w:pPr>
                    <w:spacing w:line="240" w:lineRule="auto"/>
                    <w:jc w:val="center"/>
                    <w:rPr>
                      <w:rFonts w:hint="eastAsia" w:ascii="宋体" w:hAnsi="宋体" w:eastAsia="宋体" w:cs="宋体"/>
                      <w:sz w:val="21"/>
                      <w:szCs w:val="21"/>
                      <w:lang w:eastAsia="zh-CN"/>
                    </w:rPr>
                  </w:pPr>
                  <w:r>
                    <w:rPr>
                      <w:rFonts w:hint="eastAsia" w:ascii="宋体" w:hAnsi="宋体" w:eastAsia="宋体" w:cs="宋体"/>
                      <w:sz w:val="21"/>
                      <w:szCs w:val="21"/>
                    </w:rPr>
                    <w:t>0.10</w:t>
                  </w:r>
                </w:p>
              </w:tc>
              <w:tc>
                <w:tcPr>
                  <w:tcW w:w="854"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433" w:type="dxa"/>
                  <w:vMerge w:val="continue"/>
                  <w:noWrap w:val="0"/>
                  <w:vAlign w:val="center"/>
                </w:tcPr>
                <w:p>
                  <w:pPr>
                    <w:spacing w:line="240" w:lineRule="auto"/>
                    <w:jc w:val="center"/>
                    <w:rPr>
                      <w:rFonts w:hint="eastAsia" w:ascii="宋体" w:hAnsi="宋体" w:eastAsia="宋体" w:cs="宋体"/>
                      <w:sz w:val="21"/>
                      <w:szCs w:val="21"/>
                    </w:rPr>
                  </w:pPr>
                </w:p>
              </w:tc>
              <w:tc>
                <w:tcPr>
                  <w:tcW w:w="3535" w:type="dxa"/>
                  <w:noWrap w:val="0"/>
                  <w:vAlign w:val="center"/>
                </w:tcPr>
                <w:p>
                  <w:pPr>
                    <w:spacing w:line="240" w:lineRule="auto"/>
                    <w:jc w:val="left"/>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w:t>
                  </w:r>
                  <w:r>
                    <w:rPr>
                      <w:rFonts w:hint="eastAsia" w:ascii="宋体" w:hAnsi="宋体" w:eastAsia="宋体" w:cs="宋体"/>
                      <w:color w:val="auto"/>
                      <w:sz w:val="21"/>
                      <w:szCs w:val="21"/>
                      <w:lang w:val="zh-CN" w:eastAsia="zh-CN"/>
                    </w:rPr>
                    <w:t>*</w:t>
                  </w:r>
                  <w:r>
                    <w:rPr>
                      <w:rFonts w:hint="eastAsia" w:ascii="宋体" w:hAnsi="宋体" w:eastAsia="宋体" w:cs="宋体"/>
                      <w:color w:val="auto"/>
                      <w:sz w:val="21"/>
                      <w:szCs w:val="21"/>
                      <w:highlight w:val="none"/>
                      <w:lang w:val="en-US" w:eastAsia="zh-CN"/>
                    </w:rPr>
                    <w:t>监测点</w:t>
                  </w:r>
                </w:p>
              </w:tc>
              <w:tc>
                <w:tcPr>
                  <w:tcW w:w="900"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0.10</w:t>
                  </w:r>
                </w:p>
              </w:tc>
              <w:tc>
                <w:tcPr>
                  <w:tcW w:w="900"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0.1</w:t>
                  </w:r>
                  <w:r>
                    <w:rPr>
                      <w:rFonts w:hint="eastAsia" w:ascii="宋体" w:hAnsi="宋体" w:eastAsia="宋体" w:cs="宋体"/>
                      <w:sz w:val="21"/>
                      <w:szCs w:val="21"/>
                      <w:lang w:val="en-US" w:eastAsia="zh-CN"/>
                    </w:rPr>
                    <w:t>2</w:t>
                  </w:r>
                </w:p>
              </w:tc>
              <w:tc>
                <w:tcPr>
                  <w:tcW w:w="900" w:type="dxa"/>
                  <w:noWrap w:val="0"/>
                  <w:vAlign w:val="center"/>
                </w:tcPr>
                <w:p>
                  <w:pPr>
                    <w:spacing w:line="240" w:lineRule="auto"/>
                    <w:jc w:val="center"/>
                    <w:rPr>
                      <w:rFonts w:hint="eastAsia" w:ascii="宋体" w:hAnsi="宋体" w:eastAsia="宋体" w:cs="宋体"/>
                      <w:sz w:val="21"/>
                      <w:szCs w:val="21"/>
                      <w:lang w:eastAsia="zh-CN"/>
                    </w:rPr>
                  </w:pPr>
                  <w:r>
                    <w:rPr>
                      <w:rFonts w:hint="eastAsia" w:ascii="宋体" w:hAnsi="宋体" w:eastAsia="宋体" w:cs="宋体"/>
                      <w:sz w:val="21"/>
                      <w:szCs w:val="21"/>
                    </w:rPr>
                    <w:t>0.11</w:t>
                  </w:r>
                </w:p>
              </w:tc>
              <w:tc>
                <w:tcPr>
                  <w:tcW w:w="854"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433" w:type="dxa"/>
                  <w:vMerge w:val="continue"/>
                  <w:noWrap w:val="0"/>
                  <w:vAlign w:val="center"/>
                </w:tcPr>
                <w:p>
                  <w:pPr>
                    <w:spacing w:line="240" w:lineRule="auto"/>
                    <w:jc w:val="center"/>
                    <w:rPr>
                      <w:rFonts w:hint="eastAsia" w:ascii="宋体" w:hAnsi="宋体" w:eastAsia="宋体" w:cs="宋体"/>
                      <w:sz w:val="21"/>
                      <w:szCs w:val="21"/>
                    </w:rPr>
                  </w:pPr>
                </w:p>
              </w:tc>
              <w:tc>
                <w:tcPr>
                  <w:tcW w:w="3535" w:type="dxa"/>
                  <w:noWrap w:val="0"/>
                  <w:vAlign w:val="center"/>
                </w:tcPr>
                <w:p>
                  <w:pPr>
                    <w:spacing w:line="240" w:lineRule="auto"/>
                    <w:jc w:val="left"/>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w:t>
                  </w:r>
                  <w:r>
                    <w:rPr>
                      <w:rFonts w:hint="eastAsia" w:ascii="宋体" w:hAnsi="宋体" w:eastAsia="宋体" w:cs="宋体"/>
                      <w:color w:val="auto"/>
                      <w:sz w:val="21"/>
                      <w:szCs w:val="21"/>
                      <w:lang w:val="zh-CN" w:eastAsia="zh-CN"/>
                    </w:rPr>
                    <w:t>*</w:t>
                  </w:r>
                  <w:r>
                    <w:rPr>
                      <w:rFonts w:hint="eastAsia" w:ascii="宋体" w:hAnsi="宋体" w:eastAsia="宋体" w:cs="宋体"/>
                      <w:color w:val="auto"/>
                      <w:sz w:val="21"/>
                      <w:szCs w:val="21"/>
                      <w:highlight w:val="none"/>
                      <w:lang w:val="en-US" w:eastAsia="zh-CN"/>
                    </w:rPr>
                    <w:t>监测点</w:t>
                  </w:r>
                </w:p>
              </w:tc>
              <w:tc>
                <w:tcPr>
                  <w:tcW w:w="900"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0.10</w:t>
                  </w:r>
                </w:p>
              </w:tc>
              <w:tc>
                <w:tcPr>
                  <w:tcW w:w="900"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0.11</w:t>
                  </w:r>
                </w:p>
              </w:tc>
              <w:tc>
                <w:tcPr>
                  <w:tcW w:w="900"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0.10</w:t>
                  </w:r>
                </w:p>
              </w:tc>
              <w:tc>
                <w:tcPr>
                  <w:tcW w:w="854"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433" w:type="dxa"/>
                  <w:vMerge w:val="continue"/>
                  <w:noWrap w:val="0"/>
                  <w:vAlign w:val="center"/>
                </w:tcPr>
                <w:p>
                  <w:pPr>
                    <w:spacing w:line="240" w:lineRule="auto"/>
                    <w:jc w:val="center"/>
                    <w:rPr>
                      <w:rFonts w:hint="eastAsia" w:ascii="宋体" w:hAnsi="宋体" w:eastAsia="宋体" w:cs="宋体"/>
                      <w:sz w:val="21"/>
                      <w:szCs w:val="21"/>
                    </w:rPr>
                  </w:pPr>
                </w:p>
              </w:tc>
              <w:tc>
                <w:tcPr>
                  <w:tcW w:w="3535" w:type="dxa"/>
                  <w:noWrap w:val="0"/>
                  <w:vAlign w:val="center"/>
                </w:tcPr>
                <w:p>
                  <w:pPr>
                    <w:spacing w:line="240" w:lineRule="auto"/>
                    <w:jc w:val="left"/>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5</w:t>
                  </w:r>
                  <w:r>
                    <w:rPr>
                      <w:rFonts w:hint="eastAsia" w:ascii="宋体" w:hAnsi="宋体" w:eastAsia="宋体" w:cs="宋体"/>
                      <w:color w:val="auto"/>
                      <w:sz w:val="21"/>
                      <w:szCs w:val="21"/>
                      <w:lang w:val="zh-CN" w:eastAsia="zh-CN"/>
                    </w:rPr>
                    <w:t>*</w:t>
                  </w:r>
                  <w:r>
                    <w:rPr>
                      <w:rFonts w:hint="eastAsia" w:ascii="宋体" w:hAnsi="宋体" w:eastAsia="宋体" w:cs="宋体"/>
                      <w:color w:val="auto"/>
                      <w:sz w:val="21"/>
                      <w:szCs w:val="21"/>
                      <w:highlight w:val="none"/>
                      <w:lang w:val="en-US" w:eastAsia="zh-CN"/>
                    </w:rPr>
                    <w:t>监测点</w:t>
                  </w:r>
                </w:p>
              </w:tc>
              <w:tc>
                <w:tcPr>
                  <w:tcW w:w="900"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0.10</w:t>
                  </w:r>
                </w:p>
              </w:tc>
              <w:tc>
                <w:tcPr>
                  <w:tcW w:w="900"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0.11</w:t>
                  </w:r>
                </w:p>
              </w:tc>
              <w:tc>
                <w:tcPr>
                  <w:tcW w:w="900"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0.11</w:t>
                  </w:r>
                </w:p>
              </w:tc>
              <w:tc>
                <w:tcPr>
                  <w:tcW w:w="854" w:type="dxa"/>
                  <w:noWrap w:val="0"/>
                  <w:vAlign w:val="top"/>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433" w:type="dxa"/>
                  <w:vMerge w:val="continue"/>
                  <w:noWrap w:val="0"/>
                  <w:vAlign w:val="center"/>
                </w:tcPr>
                <w:p>
                  <w:pPr>
                    <w:spacing w:line="240" w:lineRule="auto"/>
                    <w:jc w:val="center"/>
                    <w:rPr>
                      <w:rFonts w:hint="eastAsia" w:ascii="宋体" w:hAnsi="宋体" w:eastAsia="宋体" w:cs="宋体"/>
                      <w:sz w:val="21"/>
                      <w:szCs w:val="21"/>
                    </w:rPr>
                  </w:pPr>
                </w:p>
              </w:tc>
              <w:tc>
                <w:tcPr>
                  <w:tcW w:w="3535" w:type="dxa"/>
                  <w:noWrap w:val="0"/>
                  <w:vAlign w:val="center"/>
                </w:tcPr>
                <w:p>
                  <w:pPr>
                    <w:spacing w:line="240" w:lineRule="auto"/>
                    <w:jc w:val="left"/>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6</w:t>
                  </w:r>
                  <w:r>
                    <w:rPr>
                      <w:rFonts w:hint="eastAsia" w:ascii="宋体" w:hAnsi="宋体" w:eastAsia="宋体" w:cs="宋体"/>
                      <w:color w:val="auto"/>
                      <w:sz w:val="21"/>
                      <w:szCs w:val="21"/>
                      <w:lang w:val="zh-CN" w:eastAsia="zh-CN"/>
                    </w:rPr>
                    <w:t>*</w:t>
                  </w:r>
                  <w:r>
                    <w:rPr>
                      <w:rFonts w:hint="eastAsia" w:ascii="宋体" w:hAnsi="宋体" w:eastAsia="宋体" w:cs="宋体"/>
                      <w:color w:val="auto"/>
                      <w:sz w:val="21"/>
                      <w:szCs w:val="21"/>
                      <w:highlight w:val="none"/>
                      <w:lang w:val="en-US" w:eastAsia="zh-CN"/>
                    </w:rPr>
                    <w:t>监测点</w:t>
                  </w:r>
                </w:p>
              </w:tc>
              <w:tc>
                <w:tcPr>
                  <w:tcW w:w="900"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0.10</w:t>
                  </w:r>
                </w:p>
              </w:tc>
              <w:tc>
                <w:tcPr>
                  <w:tcW w:w="900"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0.1</w:t>
                  </w:r>
                  <w:r>
                    <w:rPr>
                      <w:rFonts w:hint="eastAsia" w:ascii="宋体" w:hAnsi="宋体" w:eastAsia="宋体" w:cs="宋体"/>
                      <w:sz w:val="21"/>
                      <w:szCs w:val="21"/>
                      <w:lang w:val="en-US" w:eastAsia="zh-CN"/>
                    </w:rPr>
                    <w:t>2</w:t>
                  </w:r>
                </w:p>
              </w:tc>
              <w:tc>
                <w:tcPr>
                  <w:tcW w:w="900" w:type="dxa"/>
                  <w:noWrap w:val="0"/>
                  <w:vAlign w:val="center"/>
                </w:tcPr>
                <w:p>
                  <w:pPr>
                    <w:spacing w:line="240" w:lineRule="auto"/>
                    <w:jc w:val="center"/>
                    <w:rPr>
                      <w:rFonts w:hint="eastAsia" w:ascii="宋体" w:hAnsi="宋体" w:eastAsia="宋体" w:cs="宋体"/>
                      <w:sz w:val="21"/>
                      <w:szCs w:val="21"/>
                      <w:lang w:eastAsia="zh-CN"/>
                    </w:rPr>
                  </w:pPr>
                  <w:r>
                    <w:rPr>
                      <w:rFonts w:hint="eastAsia" w:ascii="宋体" w:hAnsi="宋体" w:eastAsia="宋体" w:cs="宋体"/>
                      <w:sz w:val="21"/>
                      <w:szCs w:val="21"/>
                    </w:rPr>
                    <w:t>0.11</w:t>
                  </w:r>
                </w:p>
              </w:tc>
              <w:tc>
                <w:tcPr>
                  <w:tcW w:w="854"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433" w:type="dxa"/>
                  <w:vMerge w:val="continue"/>
                  <w:noWrap w:val="0"/>
                  <w:vAlign w:val="center"/>
                </w:tcPr>
                <w:p>
                  <w:pPr>
                    <w:spacing w:line="240" w:lineRule="auto"/>
                    <w:jc w:val="center"/>
                    <w:rPr>
                      <w:rFonts w:hint="eastAsia" w:ascii="宋体" w:hAnsi="宋体" w:eastAsia="宋体" w:cs="宋体"/>
                      <w:sz w:val="21"/>
                      <w:szCs w:val="21"/>
                    </w:rPr>
                  </w:pPr>
                </w:p>
              </w:tc>
              <w:tc>
                <w:tcPr>
                  <w:tcW w:w="3535" w:type="dxa"/>
                  <w:noWrap w:val="0"/>
                  <w:vAlign w:val="center"/>
                </w:tcPr>
                <w:p>
                  <w:pPr>
                    <w:spacing w:line="240" w:lineRule="auto"/>
                    <w:jc w:val="left"/>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7</w:t>
                  </w:r>
                  <w:r>
                    <w:rPr>
                      <w:rFonts w:hint="eastAsia" w:ascii="宋体" w:hAnsi="宋体" w:eastAsia="宋体" w:cs="宋体"/>
                      <w:color w:val="auto"/>
                      <w:sz w:val="21"/>
                      <w:szCs w:val="21"/>
                      <w:lang w:val="zh-CN" w:eastAsia="zh-CN"/>
                    </w:rPr>
                    <w:t>*</w:t>
                  </w:r>
                  <w:r>
                    <w:rPr>
                      <w:rFonts w:hint="eastAsia" w:ascii="宋体" w:hAnsi="宋体" w:eastAsia="宋体" w:cs="宋体"/>
                      <w:color w:val="auto"/>
                      <w:sz w:val="21"/>
                      <w:szCs w:val="21"/>
                      <w:highlight w:val="none"/>
                      <w:lang w:val="en-US" w:eastAsia="zh-CN"/>
                    </w:rPr>
                    <w:t>监测点</w:t>
                  </w:r>
                </w:p>
              </w:tc>
              <w:tc>
                <w:tcPr>
                  <w:tcW w:w="900"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0.10</w:t>
                  </w:r>
                </w:p>
              </w:tc>
              <w:tc>
                <w:tcPr>
                  <w:tcW w:w="900"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0.11</w:t>
                  </w:r>
                </w:p>
              </w:tc>
              <w:tc>
                <w:tcPr>
                  <w:tcW w:w="900"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0.10</w:t>
                  </w:r>
                </w:p>
              </w:tc>
              <w:tc>
                <w:tcPr>
                  <w:tcW w:w="854"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433" w:type="dxa"/>
                  <w:vMerge w:val="continue"/>
                  <w:noWrap w:val="0"/>
                  <w:vAlign w:val="center"/>
                </w:tcPr>
                <w:p>
                  <w:pPr>
                    <w:spacing w:line="240" w:lineRule="auto"/>
                    <w:jc w:val="center"/>
                    <w:rPr>
                      <w:rFonts w:hint="eastAsia" w:ascii="宋体" w:hAnsi="宋体" w:eastAsia="宋体" w:cs="宋体"/>
                      <w:sz w:val="21"/>
                      <w:szCs w:val="21"/>
                    </w:rPr>
                  </w:pPr>
                </w:p>
              </w:tc>
              <w:tc>
                <w:tcPr>
                  <w:tcW w:w="3535" w:type="dxa"/>
                  <w:noWrap w:val="0"/>
                  <w:vAlign w:val="center"/>
                </w:tcPr>
                <w:p>
                  <w:pPr>
                    <w:spacing w:line="240" w:lineRule="auto"/>
                    <w:jc w:val="left"/>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8</w:t>
                  </w:r>
                  <w:r>
                    <w:rPr>
                      <w:rFonts w:hint="eastAsia" w:ascii="宋体" w:hAnsi="宋体" w:eastAsia="宋体" w:cs="宋体"/>
                      <w:color w:val="auto"/>
                      <w:sz w:val="21"/>
                      <w:szCs w:val="21"/>
                      <w:lang w:val="zh-CN" w:eastAsia="zh-CN"/>
                    </w:rPr>
                    <w:t>*</w:t>
                  </w:r>
                  <w:r>
                    <w:rPr>
                      <w:rFonts w:hint="eastAsia" w:ascii="宋体" w:hAnsi="宋体" w:eastAsia="宋体" w:cs="宋体"/>
                      <w:color w:val="auto"/>
                      <w:sz w:val="21"/>
                      <w:szCs w:val="21"/>
                      <w:highlight w:val="none"/>
                      <w:lang w:val="en-US" w:eastAsia="zh-CN"/>
                    </w:rPr>
                    <w:t>监测点</w:t>
                  </w:r>
                </w:p>
              </w:tc>
              <w:tc>
                <w:tcPr>
                  <w:tcW w:w="900"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0.10</w:t>
                  </w:r>
                </w:p>
              </w:tc>
              <w:tc>
                <w:tcPr>
                  <w:tcW w:w="900"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0.11</w:t>
                  </w:r>
                </w:p>
              </w:tc>
              <w:tc>
                <w:tcPr>
                  <w:tcW w:w="900"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0.11</w:t>
                  </w:r>
                </w:p>
              </w:tc>
              <w:tc>
                <w:tcPr>
                  <w:tcW w:w="854"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433" w:type="dxa"/>
                  <w:vMerge w:val="continue"/>
                  <w:noWrap w:val="0"/>
                  <w:vAlign w:val="center"/>
                </w:tcPr>
                <w:p>
                  <w:pPr>
                    <w:spacing w:line="240" w:lineRule="auto"/>
                    <w:jc w:val="center"/>
                    <w:rPr>
                      <w:rFonts w:hint="eastAsia" w:ascii="宋体" w:hAnsi="宋体" w:eastAsia="宋体" w:cs="宋体"/>
                      <w:sz w:val="21"/>
                      <w:szCs w:val="21"/>
                    </w:rPr>
                  </w:pPr>
                </w:p>
              </w:tc>
              <w:tc>
                <w:tcPr>
                  <w:tcW w:w="3535" w:type="dxa"/>
                  <w:noWrap w:val="0"/>
                  <w:vAlign w:val="center"/>
                </w:tcPr>
                <w:p>
                  <w:pPr>
                    <w:spacing w:line="240" w:lineRule="auto"/>
                    <w:jc w:val="left"/>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9</w:t>
                  </w:r>
                  <w:r>
                    <w:rPr>
                      <w:rFonts w:hint="eastAsia" w:ascii="宋体" w:hAnsi="宋体" w:eastAsia="宋体" w:cs="宋体"/>
                      <w:color w:val="auto"/>
                      <w:sz w:val="21"/>
                      <w:szCs w:val="21"/>
                      <w:lang w:val="zh-CN" w:eastAsia="zh-CN"/>
                    </w:rPr>
                    <w:t>*</w:t>
                  </w:r>
                  <w:r>
                    <w:rPr>
                      <w:rFonts w:hint="eastAsia" w:ascii="宋体" w:hAnsi="宋体" w:eastAsia="宋体" w:cs="宋体"/>
                      <w:color w:val="auto"/>
                      <w:sz w:val="21"/>
                      <w:szCs w:val="21"/>
                      <w:highlight w:val="none"/>
                      <w:lang w:val="en-US" w:eastAsia="zh-CN"/>
                    </w:rPr>
                    <w:t>监测点</w:t>
                  </w:r>
                </w:p>
              </w:tc>
              <w:tc>
                <w:tcPr>
                  <w:tcW w:w="900"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0.10</w:t>
                  </w:r>
                </w:p>
              </w:tc>
              <w:tc>
                <w:tcPr>
                  <w:tcW w:w="900"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0.1</w:t>
                  </w:r>
                  <w:r>
                    <w:rPr>
                      <w:rFonts w:hint="eastAsia" w:ascii="宋体" w:hAnsi="宋体" w:eastAsia="宋体" w:cs="宋体"/>
                      <w:sz w:val="21"/>
                      <w:szCs w:val="21"/>
                      <w:lang w:val="en-US" w:eastAsia="zh-CN"/>
                    </w:rPr>
                    <w:t>2</w:t>
                  </w:r>
                </w:p>
              </w:tc>
              <w:tc>
                <w:tcPr>
                  <w:tcW w:w="900"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0.11</w:t>
                  </w:r>
                </w:p>
              </w:tc>
              <w:tc>
                <w:tcPr>
                  <w:tcW w:w="854"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433" w:type="dxa"/>
                  <w:vMerge w:val="continue"/>
                  <w:noWrap w:val="0"/>
                  <w:vAlign w:val="center"/>
                </w:tcPr>
                <w:p>
                  <w:pPr>
                    <w:spacing w:line="240" w:lineRule="auto"/>
                    <w:jc w:val="center"/>
                    <w:rPr>
                      <w:rFonts w:hint="eastAsia" w:ascii="宋体" w:hAnsi="宋体" w:eastAsia="宋体" w:cs="宋体"/>
                      <w:sz w:val="21"/>
                      <w:szCs w:val="21"/>
                    </w:rPr>
                  </w:pPr>
                </w:p>
              </w:tc>
              <w:tc>
                <w:tcPr>
                  <w:tcW w:w="3535" w:type="dxa"/>
                  <w:noWrap w:val="0"/>
                  <w:vAlign w:val="center"/>
                </w:tcPr>
                <w:p>
                  <w:pPr>
                    <w:spacing w:line="240" w:lineRule="auto"/>
                    <w:jc w:val="left"/>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w:t>
                  </w:r>
                  <w:r>
                    <w:rPr>
                      <w:rFonts w:hint="eastAsia" w:ascii="宋体" w:hAnsi="宋体" w:eastAsia="宋体" w:cs="宋体"/>
                      <w:color w:val="auto"/>
                      <w:sz w:val="21"/>
                      <w:szCs w:val="21"/>
                      <w:lang w:val="zh-CN" w:eastAsia="zh-CN"/>
                    </w:rPr>
                    <w:t>*</w:t>
                  </w:r>
                  <w:r>
                    <w:rPr>
                      <w:rFonts w:hint="eastAsia" w:ascii="宋体" w:hAnsi="宋体" w:eastAsia="宋体" w:cs="宋体"/>
                      <w:color w:val="auto"/>
                      <w:sz w:val="21"/>
                      <w:szCs w:val="21"/>
                      <w:highlight w:val="none"/>
                      <w:lang w:val="en-US" w:eastAsia="zh-CN"/>
                    </w:rPr>
                    <w:t>监测点</w:t>
                  </w:r>
                </w:p>
              </w:tc>
              <w:tc>
                <w:tcPr>
                  <w:tcW w:w="900"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0.10</w:t>
                  </w:r>
                </w:p>
              </w:tc>
              <w:tc>
                <w:tcPr>
                  <w:tcW w:w="900"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0.11</w:t>
                  </w:r>
                </w:p>
              </w:tc>
              <w:tc>
                <w:tcPr>
                  <w:tcW w:w="900"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0.10</w:t>
                  </w:r>
                </w:p>
              </w:tc>
              <w:tc>
                <w:tcPr>
                  <w:tcW w:w="854"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433" w:type="dxa"/>
                  <w:vMerge w:val="continue"/>
                  <w:noWrap w:val="0"/>
                  <w:vAlign w:val="center"/>
                </w:tcPr>
                <w:p>
                  <w:pPr>
                    <w:spacing w:line="240" w:lineRule="auto"/>
                    <w:jc w:val="center"/>
                    <w:rPr>
                      <w:rFonts w:hint="eastAsia" w:ascii="宋体" w:hAnsi="宋体" w:eastAsia="宋体" w:cs="宋体"/>
                      <w:sz w:val="21"/>
                      <w:szCs w:val="21"/>
                    </w:rPr>
                  </w:pPr>
                </w:p>
              </w:tc>
              <w:tc>
                <w:tcPr>
                  <w:tcW w:w="3535" w:type="dxa"/>
                  <w:noWrap w:val="0"/>
                  <w:vAlign w:val="center"/>
                </w:tcPr>
                <w:p>
                  <w:pPr>
                    <w:spacing w:line="240" w:lineRule="auto"/>
                    <w:jc w:val="left"/>
                    <w:rPr>
                      <w:rFonts w:hint="eastAsia" w:ascii="宋体" w:hAnsi="宋体" w:eastAsia="宋体" w:cs="宋体"/>
                      <w:color w:val="auto"/>
                      <w:sz w:val="21"/>
                      <w:szCs w:val="21"/>
                      <w:lang w:val="en-US" w:eastAsia="zh-CN"/>
                    </w:rPr>
                  </w:pPr>
                  <w:r>
                    <w:rPr>
                      <w:rFonts w:hint="eastAsia" w:ascii="宋体" w:hAnsi="宋体" w:eastAsia="宋体" w:cs="宋体"/>
                      <w:sz w:val="21"/>
                      <w:szCs w:val="21"/>
                      <w:lang w:val="en-US" w:eastAsia="zh-CN"/>
                    </w:rPr>
                    <w:t>11</w:t>
                  </w:r>
                  <w:r>
                    <w:rPr>
                      <w:rFonts w:hint="eastAsia" w:ascii="宋体" w:hAnsi="宋体" w:eastAsia="宋体" w:cs="宋体"/>
                      <w:sz w:val="21"/>
                      <w:szCs w:val="21"/>
                      <w:lang w:val="zh-CN" w:eastAsia="zh-CN"/>
                    </w:rPr>
                    <w:t>*</w:t>
                  </w:r>
                  <w:r>
                    <w:rPr>
                      <w:rFonts w:hint="eastAsia" w:ascii="宋体" w:hAnsi="宋体" w:eastAsia="宋体" w:cs="宋体"/>
                      <w:color w:val="auto"/>
                      <w:sz w:val="21"/>
                      <w:szCs w:val="21"/>
                      <w:highlight w:val="none"/>
                      <w:lang w:val="en-US" w:eastAsia="zh-CN"/>
                    </w:rPr>
                    <w:t>监测点</w:t>
                  </w:r>
                </w:p>
              </w:tc>
              <w:tc>
                <w:tcPr>
                  <w:tcW w:w="900"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0.10</w:t>
                  </w:r>
                </w:p>
              </w:tc>
              <w:tc>
                <w:tcPr>
                  <w:tcW w:w="900"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0.11</w:t>
                  </w:r>
                </w:p>
              </w:tc>
              <w:tc>
                <w:tcPr>
                  <w:tcW w:w="900"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0.10</w:t>
                  </w:r>
                </w:p>
              </w:tc>
              <w:tc>
                <w:tcPr>
                  <w:tcW w:w="854"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433" w:type="dxa"/>
                  <w:vMerge w:val="continue"/>
                  <w:noWrap w:val="0"/>
                  <w:vAlign w:val="center"/>
                </w:tcPr>
                <w:p>
                  <w:pPr>
                    <w:spacing w:line="240" w:lineRule="auto"/>
                    <w:jc w:val="center"/>
                    <w:rPr>
                      <w:rFonts w:hint="eastAsia" w:ascii="宋体" w:hAnsi="宋体" w:eastAsia="宋体" w:cs="宋体"/>
                      <w:sz w:val="21"/>
                      <w:szCs w:val="21"/>
                    </w:rPr>
                  </w:pPr>
                </w:p>
              </w:tc>
              <w:tc>
                <w:tcPr>
                  <w:tcW w:w="3535" w:type="dxa"/>
                  <w:noWrap w:val="0"/>
                  <w:vAlign w:val="center"/>
                </w:tcPr>
                <w:p>
                  <w:pPr>
                    <w:spacing w:line="240" w:lineRule="auto"/>
                    <w:jc w:val="left"/>
                    <w:rPr>
                      <w:rFonts w:hint="eastAsia" w:ascii="宋体" w:hAnsi="宋体" w:eastAsia="宋体" w:cs="宋体"/>
                      <w:color w:val="auto"/>
                      <w:sz w:val="21"/>
                      <w:szCs w:val="21"/>
                      <w:lang w:val="en-US" w:eastAsia="zh-CN"/>
                    </w:rPr>
                  </w:pPr>
                  <w:r>
                    <w:rPr>
                      <w:rFonts w:hint="eastAsia" w:ascii="宋体" w:hAnsi="宋体" w:eastAsia="宋体" w:cs="宋体"/>
                      <w:sz w:val="21"/>
                      <w:szCs w:val="21"/>
                      <w:lang w:val="en-US" w:eastAsia="zh-CN"/>
                    </w:rPr>
                    <w:t>12</w:t>
                  </w:r>
                  <w:r>
                    <w:rPr>
                      <w:rFonts w:hint="eastAsia" w:ascii="宋体" w:hAnsi="宋体" w:eastAsia="宋体" w:cs="宋体"/>
                      <w:sz w:val="21"/>
                      <w:szCs w:val="21"/>
                      <w:lang w:val="zh-CN" w:eastAsia="zh-CN"/>
                    </w:rPr>
                    <w:t>*</w:t>
                  </w:r>
                  <w:r>
                    <w:rPr>
                      <w:rFonts w:hint="eastAsia" w:ascii="宋体" w:hAnsi="宋体" w:eastAsia="宋体" w:cs="宋体"/>
                      <w:color w:val="auto"/>
                      <w:sz w:val="21"/>
                      <w:szCs w:val="21"/>
                      <w:highlight w:val="none"/>
                      <w:lang w:val="en-US" w:eastAsia="zh-CN"/>
                    </w:rPr>
                    <w:t>监测点</w:t>
                  </w:r>
                </w:p>
              </w:tc>
              <w:tc>
                <w:tcPr>
                  <w:tcW w:w="900"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0.10</w:t>
                  </w:r>
                </w:p>
              </w:tc>
              <w:tc>
                <w:tcPr>
                  <w:tcW w:w="900"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0.11</w:t>
                  </w:r>
                </w:p>
              </w:tc>
              <w:tc>
                <w:tcPr>
                  <w:tcW w:w="900"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0.11</w:t>
                  </w:r>
                </w:p>
              </w:tc>
              <w:tc>
                <w:tcPr>
                  <w:tcW w:w="854"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433" w:type="dxa"/>
                  <w:vMerge w:val="continue"/>
                  <w:noWrap w:val="0"/>
                  <w:vAlign w:val="center"/>
                </w:tcPr>
                <w:p>
                  <w:pPr>
                    <w:spacing w:line="240" w:lineRule="auto"/>
                    <w:jc w:val="center"/>
                    <w:rPr>
                      <w:rFonts w:hint="eastAsia" w:ascii="宋体" w:hAnsi="宋体" w:eastAsia="宋体" w:cs="宋体"/>
                      <w:sz w:val="21"/>
                      <w:szCs w:val="21"/>
                    </w:rPr>
                  </w:pPr>
                </w:p>
              </w:tc>
              <w:tc>
                <w:tcPr>
                  <w:tcW w:w="3535" w:type="dxa"/>
                  <w:noWrap w:val="0"/>
                  <w:vAlign w:val="center"/>
                </w:tcPr>
                <w:p>
                  <w:pPr>
                    <w:spacing w:line="240" w:lineRule="auto"/>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13</w:t>
                  </w:r>
                  <w:r>
                    <w:rPr>
                      <w:rFonts w:hint="eastAsia" w:ascii="宋体" w:hAnsi="宋体" w:eastAsia="宋体" w:cs="宋体"/>
                      <w:sz w:val="21"/>
                      <w:szCs w:val="21"/>
                      <w:lang w:val="zh-CN" w:eastAsia="zh-CN"/>
                    </w:rPr>
                    <w:t>*</w:t>
                  </w:r>
                  <w:r>
                    <w:rPr>
                      <w:rFonts w:hint="eastAsia" w:ascii="宋体" w:hAnsi="宋体" w:eastAsia="宋体" w:cs="宋体"/>
                      <w:sz w:val="21"/>
                      <w:szCs w:val="21"/>
                      <w:lang w:val="en-US" w:eastAsia="zh-CN"/>
                    </w:rPr>
                    <w:t>骨科楼监测点</w:t>
                  </w:r>
                </w:p>
              </w:tc>
              <w:tc>
                <w:tcPr>
                  <w:tcW w:w="900"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0.10</w:t>
                  </w:r>
                </w:p>
              </w:tc>
              <w:tc>
                <w:tcPr>
                  <w:tcW w:w="900"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0.11</w:t>
                  </w:r>
                </w:p>
              </w:tc>
              <w:tc>
                <w:tcPr>
                  <w:tcW w:w="900"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0.10</w:t>
                  </w:r>
                </w:p>
              </w:tc>
              <w:tc>
                <w:tcPr>
                  <w:tcW w:w="854"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433" w:type="dxa"/>
                  <w:vMerge w:val="continue"/>
                  <w:noWrap w:val="0"/>
                  <w:vAlign w:val="center"/>
                </w:tcPr>
                <w:p>
                  <w:pPr>
                    <w:spacing w:line="240" w:lineRule="auto"/>
                    <w:jc w:val="center"/>
                    <w:rPr>
                      <w:rFonts w:hint="eastAsia" w:ascii="宋体" w:hAnsi="宋体" w:eastAsia="宋体" w:cs="宋体"/>
                      <w:sz w:val="21"/>
                      <w:szCs w:val="21"/>
                    </w:rPr>
                  </w:pPr>
                </w:p>
              </w:tc>
              <w:tc>
                <w:tcPr>
                  <w:tcW w:w="3535" w:type="dxa"/>
                  <w:noWrap w:val="0"/>
                  <w:vAlign w:val="center"/>
                </w:tcPr>
                <w:p>
                  <w:pPr>
                    <w:spacing w:line="240" w:lineRule="auto"/>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14</w:t>
                  </w:r>
                  <w:r>
                    <w:rPr>
                      <w:rFonts w:hint="eastAsia" w:ascii="宋体" w:hAnsi="宋体" w:eastAsia="宋体" w:cs="宋体"/>
                      <w:sz w:val="21"/>
                      <w:szCs w:val="21"/>
                      <w:lang w:val="zh-CN" w:eastAsia="zh-CN"/>
                    </w:rPr>
                    <w:t>*</w:t>
                  </w:r>
                  <w:r>
                    <w:rPr>
                      <w:rFonts w:hint="eastAsia" w:ascii="宋体" w:hAnsi="宋体" w:eastAsia="宋体" w:cs="宋体"/>
                      <w:sz w:val="21"/>
                      <w:szCs w:val="21"/>
                      <w:lang w:val="en-US" w:eastAsia="zh-CN"/>
                    </w:rPr>
                    <w:t>新建综合楼（尚未建成）监测点</w:t>
                  </w:r>
                </w:p>
              </w:tc>
              <w:tc>
                <w:tcPr>
                  <w:tcW w:w="900"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0.10</w:t>
                  </w:r>
                </w:p>
              </w:tc>
              <w:tc>
                <w:tcPr>
                  <w:tcW w:w="900"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0.11</w:t>
                  </w:r>
                </w:p>
              </w:tc>
              <w:tc>
                <w:tcPr>
                  <w:tcW w:w="900"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0.11</w:t>
                  </w:r>
                </w:p>
              </w:tc>
              <w:tc>
                <w:tcPr>
                  <w:tcW w:w="854"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433" w:type="dxa"/>
                  <w:vMerge w:val="continue"/>
                  <w:noWrap w:val="0"/>
                  <w:vAlign w:val="center"/>
                </w:tcPr>
                <w:p>
                  <w:pPr>
                    <w:spacing w:line="240" w:lineRule="auto"/>
                    <w:jc w:val="center"/>
                    <w:rPr>
                      <w:rFonts w:hint="eastAsia" w:ascii="宋体" w:hAnsi="宋体" w:eastAsia="宋体" w:cs="宋体"/>
                      <w:sz w:val="21"/>
                      <w:szCs w:val="21"/>
                    </w:rPr>
                  </w:pPr>
                </w:p>
              </w:tc>
              <w:tc>
                <w:tcPr>
                  <w:tcW w:w="3535" w:type="dxa"/>
                  <w:noWrap w:val="0"/>
                  <w:vAlign w:val="center"/>
                </w:tcPr>
                <w:p>
                  <w:pPr>
                    <w:spacing w:line="240" w:lineRule="auto"/>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15</w:t>
                  </w:r>
                  <w:r>
                    <w:rPr>
                      <w:rFonts w:hint="eastAsia" w:ascii="宋体" w:hAnsi="宋体" w:eastAsia="宋体" w:cs="宋体"/>
                      <w:sz w:val="21"/>
                      <w:szCs w:val="21"/>
                      <w:lang w:val="zh-CN" w:eastAsia="zh-CN"/>
                    </w:rPr>
                    <w:t>*</w:t>
                  </w:r>
                  <w:r>
                    <w:rPr>
                      <w:rFonts w:hint="eastAsia" w:ascii="宋体" w:hAnsi="宋体" w:eastAsia="宋体" w:cs="宋体"/>
                      <w:sz w:val="21"/>
                      <w:szCs w:val="21"/>
                      <w:lang w:val="en-US" w:eastAsia="zh-CN"/>
                    </w:rPr>
                    <w:t>外科楼监测点</w:t>
                  </w:r>
                </w:p>
              </w:tc>
              <w:tc>
                <w:tcPr>
                  <w:tcW w:w="900"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0.10</w:t>
                  </w:r>
                </w:p>
              </w:tc>
              <w:tc>
                <w:tcPr>
                  <w:tcW w:w="900"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0.1</w:t>
                  </w:r>
                  <w:r>
                    <w:rPr>
                      <w:rFonts w:hint="eastAsia" w:ascii="宋体" w:hAnsi="宋体" w:eastAsia="宋体" w:cs="宋体"/>
                      <w:sz w:val="21"/>
                      <w:szCs w:val="21"/>
                      <w:lang w:val="en-US" w:eastAsia="zh-CN"/>
                    </w:rPr>
                    <w:t>2</w:t>
                  </w:r>
                </w:p>
              </w:tc>
              <w:tc>
                <w:tcPr>
                  <w:tcW w:w="900"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0.11</w:t>
                  </w:r>
                </w:p>
              </w:tc>
              <w:tc>
                <w:tcPr>
                  <w:tcW w:w="854"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433" w:type="dxa"/>
                  <w:vMerge w:val="continue"/>
                  <w:noWrap w:val="0"/>
                  <w:vAlign w:val="center"/>
                </w:tcPr>
                <w:p>
                  <w:pPr>
                    <w:spacing w:line="240" w:lineRule="auto"/>
                    <w:jc w:val="center"/>
                    <w:rPr>
                      <w:rFonts w:hint="eastAsia" w:ascii="宋体" w:hAnsi="宋体" w:eastAsia="宋体" w:cs="宋体"/>
                      <w:sz w:val="21"/>
                      <w:szCs w:val="21"/>
                    </w:rPr>
                  </w:pPr>
                </w:p>
              </w:tc>
              <w:tc>
                <w:tcPr>
                  <w:tcW w:w="3535" w:type="dxa"/>
                  <w:noWrap w:val="0"/>
                  <w:vAlign w:val="center"/>
                </w:tcPr>
                <w:p>
                  <w:pPr>
                    <w:spacing w:line="240" w:lineRule="auto"/>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16</w:t>
                  </w:r>
                  <w:r>
                    <w:rPr>
                      <w:rFonts w:hint="eastAsia" w:ascii="宋体" w:hAnsi="宋体" w:eastAsia="宋体" w:cs="宋体"/>
                      <w:sz w:val="21"/>
                      <w:szCs w:val="21"/>
                      <w:lang w:val="zh-CN" w:eastAsia="zh-CN"/>
                    </w:rPr>
                    <w:t>*</w:t>
                  </w:r>
                  <w:r>
                    <w:rPr>
                      <w:rFonts w:hint="eastAsia" w:ascii="宋体" w:hAnsi="宋体" w:eastAsia="宋体" w:cs="宋体"/>
                      <w:sz w:val="21"/>
                      <w:szCs w:val="21"/>
                      <w:lang w:val="en-US" w:eastAsia="zh-CN"/>
                    </w:rPr>
                    <w:t>住院部监测点</w:t>
                  </w:r>
                </w:p>
              </w:tc>
              <w:tc>
                <w:tcPr>
                  <w:tcW w:w="900"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0.10</w:t>
                  </w:r>
                </w:p>
              </w:tc>
              <w:tc>
                <w:tcPr>
                  <w:tcW w:w="900"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0.1</w:t>
                  </w:r>
                  <w:r>
                    <w:rPr>
                      <w:rFonts w:hint="eastAsia" w:ascii="宋体" w:hAnsi="宋体" w:eastAsia="宋体" w:cs="宋体"/>
                      <w:sz w:val="21"/>
                      <w:szCs w:val="21"/>
                      <w:lang w:val="en-US" w:eastAsia="zh-CN"/>
                    </w:rPr>
                    <w:t>2</w:t>
                  </w:r>
                </w:p>
              </w:tc>
              <w:tc>
                <w:tcPr>
                  <w:tcW w:w="900"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0.11</w:t>
                  </w:r>
                </w:p>
              </w:tc>
              <w:tc>
                <w:tcPr>
                  <w:tcW w:w="854"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433" w:type="dxa"/>
                  <w:vMerge w:val="continue"/>
                  <w:noWrap w:val="0"/>
                  <w:vAlign w:val="center"/>
                </w:tcPr>
                <w:p>
                  <w:pPr>
                    <w:spacing w:line="240" w:lineRule="auto"/>
                    <w:jc w:val="center"/>
                    <w:rPr>
                      <w:rFonts w:hint="eastAsia" w:ascii="宋体" w:hAnsi="宋体" w:eastAsia="宋体" w:cs="宋体"/>
                      <w:sz w:val="21"/>
                      <w:szCs w:val="21"/>
                    </w:rPr>
                  </w:pPr>
                </w:p>
              </w:tc>
              <w:tc>
                <w:tcPr>
                  <w:tcW w:w="3535" w:type="dxa"/>
                  <w:noWrap w:val="0"/>
                  <w:vAlign w:val="center"/>
                </w:tcPr>
                <w:p>
                  <w:pPr>
                    <w:spacing w:line="240" w:lineRule="auto"/>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17</w:t>
                  </w:r>
                  <w:r>
                    <w:rPr>
                      <w:rFonts w:hint="eastAsia" w:ascii="宋体" w:hAnsi="宋体" w:eastAsia="宋体" w:cs="宋体"/>
                      <w:sz w:val="21"/>
                      <w:szCs w:val="21"/>
                      <w:lang w:val="zh-CN" w:eastAsia="zh-CN"/>
                    </w:rPr>
                    <w:t>*</w:t>
                  </w:r>
                  <w:r>
                    <w:rPr>
                      <w:rFonts w:hint="eastAsia" w:ascii="宋体" w:hAnsi="宋体" w:eastAsia="宋体" w:cs="宋体"/>
                      <w:sz w:val="21"/>
                      <w:szCs w:val="21"/>
                      <w:lang w:val="en-US" w:eastAsia="zh-CN"/>
                    </w:rPr>
                    <w:t>病理科监测点</w:t>
                  </w:r>
                </w:p>
              </w:tc>
              <w:tc>
                <w:tcPr>
                  <w:tcW w:w="900"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0.10</w:t>
                  </w:r>
                </w:p>
              </w:tc>
              <w:tc>
                <w:tcPr>
                  <w:tcW w:w="900"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0.11</w:t>
                  </w:r>
                </w:p>
              </w:tc>
              <w:tc>
                <w:tcPr>
                  <w:tcW w:w="900"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0.11</w:t>
                  </w:r>
                </w:p>
              </w:tc>
              <w:tc>
                <w:tcPr>
                  <w:tcW w:w="854" w:type="dxa"/>
                  <w:noWrap w:val="0"/>
                  <w:vAlign w:val="top"/>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433" w:type="dxa"/>
                  <w:vMerge w:val="continue"/>
                  <w:noWrap w:val="0"/>
                  <w:vAlign w:val="center"/>
                </w:tcPr>
                <w:p>
                  <w:pPr>
                    <w:spacing w:line="240" w:lineRule="auto"/>
                    <w:jc w:val="center"/>
                    <w:rPr>
                      <w:rFonts w:hint="eastAsia" w:ascii="宋体" w:hAnsi="宋体" w:eastAsia="宋体" w:cs="宋体"/>
                      <w:sz w:val="21"/>
                      <w:szCs w:val="21"/>
                    </w:rPr>
                  </w:pPr>
                </w:p>
              </w:tc>
              <w:tc>
                <w:tcPr>
                  <w:tcW w:w="3535" w:type="dxa"/>
                  <w:noWrap w:val="0"/>
                  <w:vAlign w:val="center"/>
                </w:tcPr>
                <w:p>
                  <w:pPr>
                    <w:spacing w:line="240" w:lineRule="auto"/>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18</w:t>
                  </w:r>
                  <w:r>
                    <w:rPr>
                      <w:rFonts w:hint="eastAsia" w:ascii="宋体" w:hAnsi="宋体" w:eastAsia="宋体" w:cs="宋体"/>
                      <w:sz w:val="21"/>
                      <w:szCs w:val="21"/>
                      <w:lang w:val="zh-CN" w:eastAsia="zh-CN"/>
                    </w:rPr>
                    <w:t>*</w:t>
                  </w:r>
                  <w:r>
                    <w:rPr>
                      <w:rFonts w:hint="eastAsia" w:ascii="宋体" w:hAnsi="宋体" w:eastAsia="宋体" w:cs="宋体"/>
                      <w:sz w:val="21"/>
                      <w:szCs w:val="21"/>
                      <w:lang w:val="en-US" w:eastAsia="zh-CN"/>
                    </w:rPr>
                    <w:t>门诊楼监测点</w:t>
                  </w:r>
                </w:p>
              </w:tc>
              <w:tc>
                <w:tcPr>
                  <w:tcW w:w="900"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0.10</w:t>
                  </w:r>
                </w:p>
              </w:tc>
              <w:tc>
                <w:tcPr>
                  <w:tcW w:w="900"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0.11</w:t>
                  </w:r>
                </w:p>
              </w:tc>
              <w:tc>
                <w:tcPr>
                  <w:tcW w:w="900"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0.10</w:t>
                  </w:r>
                </w:p>
              </w:tc>
              <w:tc>
                <w:tcPr>
                  <w:tcW w:w="854" w:type="dxa"/>
                  <w:noWrap w:val="0"/>
                  <w:vAlign w:val="center"/>
                </w:tcPr>
                <w:p>
                  <w:pPr>
                    <w:spacing w:line="240" w:lineRule="auto"/>
                    <w:jc w:val="center"/>
                    <w:rPr>
                      <w:rFonts w:hint="eastAsia" w:ascii="宋体" w:hAnsi="宋体" w:eastAsia="宋体" w:cs="宋体"/>
                      <w:sz w:val="21"/>
                      <w:szCs w:val="21"/>
                    </w:rPr>
                  </w:pPr>
                  <w:r>
                    <w:rPr>
                      <w:rFonts w:hint="eastAsia" w:ascii="宋体" w:hAnsi="宋体" w:eastAsia="宋体" w:cs="宋体"/>
                      <w:sz w:val="21"/>
                      <w:szCs w:val="21"/>
                    </w:rPr>
                    <w:t>0.01</w:t>
                  </w:r>
                </w:p>
              </w:tc>
            </w:tr>
          </w:tbl>
          <w:p>
            <w:pPr>
              <w:autoSpaceDE w:val="0"/>
              <w:autoSpaceDN w:val="0"/>
              <w:adjustRightInd w:val="0"/>
              <w:spacing w:line="336" w:lineRule="auto"/>
              <w:jc w:val="center"/>
              <w:rPr>
                <w:rFonts w:hint="eastAsia" w:ascii="宋体" w:hAnsi="宋体" w:eastAsia="宋体" w:cs="宋体"/>
                <w:color w:val="0000FF"/>
                <w:highlight w:val="none"/>
                <w:lang w:val="en-US" w:eastAsia="zh-CN"/>
              </w:rPr>
            </w:pPr>
          </w:p>
          <w:p>
            <w:pPr>
              <w:autoSpaceDE w:val="0"/>
              <w:autoSpaceDN w:val="0"/>
              <w:adjustRightInd w:val="0"/>
              <w:spacing w:line="336" w:lineRule="auto"/>
              <w:jc w:val="center"/>
              <w:rPr>
                <w:rFonts w:hint="eastAsia" w:ascii="宋体" w:hAnsi="宋体" w:eastAsia="宋体" w:cs="宋体"/>
                <w:color w:val="auto"/>
              </w:rPr>
            </w:pPr>
            <w:r>
              <w:rPr>
                <w:rFonts w:hint="eastAsia" w:ascii="宋体" w:hAnsi="宋体" w:eastAsia="宋体" w:cs="宋体"/>
                <w:color w:val="auto"/>
              </w:rPr>
              <w:object>
                <v:shape id="_x0000_i1025" o:spt="75" type="#_x0000_t75" style="height:391.3pt;width:403.2pt;" o:ole="t" filled="f" o:preferrelative="t" stroked="f" coordsize="21600,21600">
                  <v:path/>
                  <v:fill on="f" focussize="0,0"/>
                  <v:stroke on="f"/>
                  <v:imagedata r:id="rId12" o:title=""/>
                  <o:lock v:ext="edit" aspectratio="f"/>
                  <w10:wrap type="none"/>
                  <w10:anchorlock/>
                </v:shape>
                <o:OLEObject Type="Embed" ProgID="Visio.Drawing.11" ShapeID="_x0000_i1025" DrawAspect="Content" ObjectID="_1468075725" r:id="rId11">
                  <o:LockedField>false</o:LockedField>
                </o:OLEObject>
              </w:object>
            </w:r>
          </w:p>
          <w:p>
            <w:pPr>
              <w:autoSpaceDE w:val="0"/>
              <w:autoSpaceDN w:val="0"/>
              <w:adjustRightInd w:val="0"/>
              <w:spacing w:line="336"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（1）加速器拟建位置监测布点示意图</w:t>
            </w:r>
          </w:p>
          <w:p>
            <w:pPr>
              <w:autoSpaceDE w:val="0"/>
              <w:autoSpaceDN w:val="0"/>
              <w:adjustRightInd w:val="0"/>
              <w:spacing w:line="336" w:lineRule="auto"/>
              <w:jc w:val="center"/>
              <w:rPr>
                <w:rFonts w:hint="eastAsia" w:ascii="宋体" w:hAnsi="宋体" w:eastAsia="宋体" w:cs="宋体"/>
                <w:color w:val="0000FF"/>
                <w:highlight w:val="none"/>
              </w:rPr>
            </w:pPr>
            <w:r>
              <w:rPr>
                <w:rFonts w:hint="eastAsia" w:ascii="宋体" w:hAnsi="宋体" w:eastAsia="宋体" w:cs="宋体"/>
              </w:rPr>
              <w:drawing>
                <wp:inline distT="0" distB="0" distL="114300" distR="114300">
                  <wp:extent cx="5541645" cy="3324860"/>
                  <wp:effectExtent l="0" t="0" r="1905" b="8890"/>
                  <wp:docPr id="2"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9"/>
                          <pic:cNvPicPr>
                            <a:picLocks noChangeAspect="1"/>
                          </pic:cNvPicPr>
                        </pic:nvPicPr>
                        <pic:blipFill>
                          <a:blip r:embed="rId13"/>
                          <a:stretch>
                            <a:fillRect/>
                          </a:stretch>
                        </pic:blipFill>
                        <pic:spPr>
                          <a:xfrm>
                            <a:off x="0" y="0"/>
                            <a:ext cx="5541645" cy="3324860"/>
                          </a:xfrm>
                          <a:prstGeom prst="rect">
                            <a:avLst/>
                          </a:prstGeom>
                          <a:noFill/>
                          <a:ln>
                            <a:noFill/>
                          </a:ln>
                        </pic:spPr>
                      </pic:pic>
                    </a:graphicData>
                  </a:graphic>
                </wp:inline>
              </w:drawing>
            </w:r>
          </w:p>
          <w:p>
            <w:pPr>
              <w:autoSpaceDE w:val="0"/>
              <w:autoSpaceDN w:val="0"/>
              <w:adjustRightInd w:val="0"/>
              <w:spacing w:line="336"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（2）周围敏感目标监测布点示意图</w:t>
            </w:r>
          </w:p>
          <w:p>
            <w:pPr>
              <w:pStyle w:val="25"/>
              <w:spacing w:line="360" w:lineRule="auto"/>
              <w:jc w:val="center"/>
              <w:rPr>
                <w:rFonts w:hint="eastAsia" w:ascii="宋体" w:hAnsi="宋体" w:eastAsia="宋体" w:cs="宋体"/>
                <w:color w:val="auto"/>
                <w:kern w:val="0"/>
                <w:sz w:val="21"/>
                <w:szCs w:val="21"/>
                <w:highlight w:val="none"/>
              </w:rPr>
            </w:pPr>
            <w:r>
              <w:rPr>
                <w:rFonts w:hint="eastAsia" w:ascii="宋体" w:hAnsi="宋体" w:eastAsia="宋体" w:cs="宋体"/>
                <w:b/>
                <w:bCs/>
                <w:color w:val="auto"/>
                <w:sz w:val="21"/>
                <w:szCs w:val="21"/>
                <w:highlight w:val="none"/>
              </w:rPr>
              <w:t>图8-1 监测布点示意图</w:t>
            </w:r>
          </w:p>
          <w:p>
            <w:pPr>
              <w:spacing w:line="336"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由黑龙江</w:t>
            </w:r>
            <w:r>
              <w:rPr>
                <w:rFonts w:hint="eastAsia" w:ascii="宋体" w:hAnsi="宋体" w:eastAsia="宋体" w:cs="宋体"/>
                <w:color w:val="auto"/>
                <w:kern w:val="0"/>
                <w:sz w:val="24"/>
                <w:highlight w:val="none"/>
                <w:lang w:val="en-US" w:eastAsia="zh-CN"/>
              </w:rPr>
              <w:t>沣淳环保科技</w:t>
            </w:r>
            <w:r>
              <w:rPr>
                <w:rFonts w:hint="eastAsia" w:ascii="宋体" w:hAnsi="宋体" w:eastAsia="宋体" w:cs="宋体"/>
                <w:color w:val="auto"/>
                <w:kern w:val="0"/>
                <w:sz w:val="24"/>
                <w:highlight w:val="none"/>
              </w:rPr>
              <w:t>有限公司提供的监测报告（详见附件2）可知：本项目</w:t>
            </w:r>
            <w:r>
              <w:rPr>
                <w:rFonts w:hint="eastAsia" w:ascii="宋体" w:hAnsi="宋体" w:eastAsia="宋体" w:cs="宋体"/>
                <w:color w:val="auto"/>
                <w:spacing w:val="16"/>
                <w:kern w:val="0"/>
                <w:sz w:val="24"/>
                <w:highlight w:val="none"/>
              </w:rPr>
              <w:t>加速器机房所在区域</w:t>
            </w:r>
            <w:r>
              <w:rPr>
                <w:rFonts w:hint="eastAsia" w:ascii="宋体" w:hAnsi="宋体" w:eastAsia="宋体" w:cs="宋体"/>
                <w:color w:val="auto"/>
                <w:spacing w:val="16"/>
                <w:kern w:val="0"/>
                <w:sz w:val="24"/>
                <w:highlight w:val="none"/>
                <w:lang w:val="en-US" w:eastAsia="zh-CN"/>
              </w:rPr>
              <w:t>及周围环境</w:t>
            </w:r>
            <w:r>
              <w:rPr>
                <w:rFonts w:hint="eastAsia" w:ascii="宋体" w:hAnsi="宋体" w:eastAsia="宋体" w:cs="宋体"/>
                <w:color w:val="auto"/>
                <w:spacing w:val="16"/>
                <w:kern w:val="0"/>
                <w:sz w:val="24"/>
                <w:highlight w:val="none"/>
              </w:rPr>
              <w:t>各监测点</w:t>
            </w:r>
            <w:r>
              <w:rPr>
                <w:rFonts w:hint="eastAsia" w:ascii="宋体" w:hAnsi="宋体" w:eastAsia="宋体" w:cs="宋体"/>
                <w:color w:val="auto"/>
                <w:kern w:val="0"/>
                <w:sz w:val="24"/>
                <w:highlight w:val="none"/>
              </w:rPr>
              <w:t>的</w:t>
            </w:r>
            <w:r>
              <w:rPr>
                <w:rFonts w:hint="eastAsia" w:ascii="宋体" w:hAnsi="宋体" w:eastAsia="宋体" w:cs="宋体"/>
                <w:iCs/>
                <w:color w:val="auto"/>
                <w:kern w:val="0"/>
                <w:sz w:val="24"/>
                <w:highlight w:val="none"/>
              </w:rPr>
              <w:t>γ</w:t>
            </w:r>
            <w:r>
              <w:rPr>
                <w:rFonts w:hint="eastAsia" w:ascii="宋体" w:hAnsi="宋体" w:eastAsia="宋体" w:cs="宋体"/>
                <w:color w:val="auto"/>
                <w:sz w:val="24"/>
                <w:highlight w:val="none"/>
              </w:rPr>
              <w:t>辐射空气吸收剂量率检测结果为：0.10～0.1</w:t>
            </w:r>
            <w:r>
              <w:rPr>
                <w:rFonts w:hint="eastAsia" w:ascii="宋体" w:hAnsi="宋体" w:eastAsia="宋体" w:cs="宋体"/>
                <w:color w:val="auto"/>
                <w:sz w:val="24"/>
                <w:highlight w:val="none"/>
                <w:lang w:val="en-US" w:eastAsia="zh-CN"/>
              </w:rPr>
              <w:t>1</w:t>
            </w:r>
            <w:r>
              <w:rPr>
                <w:rFonts w:hint="eastAsia" w:ascii="宋体" w:hAnsi="宋体" w:eastAsia="宋体" w:cs="宋体"/>
                <w:color w:val="auto"/>
                <w:sz w:val="24"/>
                <w:highlight w:val="none"/>
              </w:rPr>
              <w:t>μ</w:t>
            </w:r>
            <w:r>
              <w:rPr>
                <w:rFonts w:hint="eastAsia" w:ascii="宋体" w:hAnsi="宋体" w:eastAsia="宋体" w:cs="宋体"/>
                <w:color w:val="auto"/>
                <w:sz w:val="24"/>
                <w:highlight w:val="none"/>
                <w:lang w:val="en-US" w:eastAsia="zh-CN"/>
              </w:rPr>
              <w:t>Gy</w:t>
            </w:r>
            <w:r>
              <w:rPr>
                <w:rFonts w:hint="eastAsia" w:ascii="宋体" w:hAnsi="宋体" w:eastAsia="宋体" w:cs="宋体"/>
                <w:color w:val="auto"/>
                <w:sz w:val="24"/>
                <w:highlight w:val="none"/>
              </w:rPr>
              <w:t>/h。各监测点的</w:t>
            </w:r>
            <w:r>
              <w:rPr>
                <w:rFonts w:hint="eastAsia" w:ascii="宋体" w:hAnsi="宋体" w:eastAsia="宋体" w:cs="宋体"/>
                <w:color w:val="auto"/>
                <w:kern w:val="0"/>
                <w:sz w:val="24"/>
                <w:highlight w:val="none"/>
              </w:rPr>
              <w:t>γ</w:t>
            </w:r>
            <w:r>
              <w:rPr>
                <w:rFonts w:hint="eastAsia" w:ascii="宋体" w:hAnsi="宋体" w:eastAsia="宋体" w:cs="宋体"/>
                <w:color w:val="auto"/>
                <w:sz w:val="24"/>
                <w:highlight w:val="none"/>
                <w:lang w:val="en-US" w:eastAsia="zh-CN"/>
              </w:rPr>
              <w:t>辐射空气吸收</w:t>
            </w:r>
            <w:r>
              <w:rPr>
                <w:rFonts w:hint="eastAsia" w:ascii="宋体" w:hAnsi="宋体" w:eastAsia="宋体" w:cs="宋体"/>
                <w:color w:val="auto"/>
                <w:sz w:val="24"/>
                <w:highlight w:val="none"/>
              </w:rPr>
              <w:t>剂量率</w:t>
            </w:r>
            <w:r>
              <w:rPr>
                <w:rFonts w:hint="eastAsia" w:ascii="宋体" w:hAnsi="宋体" w:eastAsia="宋体" w:cs="宋体"/>
                <w:color w:val="auto"/>
                <w:kern w:val="0"/>
                <w:sz w:val="24"/>
                <w:highlight w:val="none"/>
              </w:rPr>
              <w:t>均处于黑龙江省天然γ辐射剂量率</w:t>
            </w:r>
            <w:r>
              <w:rPr>
                <w:rFonts w:hint="eastAsia" w:ascii="宋体" w:hAnsi="宋体" w:eastAsia="宋体" w:cs="宋体"/>
                <w:color w:val="auto"/>
                <w:kern w:val="0"/>
                <w:sz w:val="24"/>
                <w:highlight w:val="none"/>
                <w:lang w:eastAsia="zh-CN"/>
              </w:rPr>
              <w:t>范围</w:t>
            </w:r>
            <w:r>
              <w:rPr>
                <w:rFonts w:hint="eastAsia" w:ascii="宋体" w:hAnsi="宋体" w:eastAsia="宋体" w:cs="宋体"/>
                <w:color w:val="auto"/>
                <w:kern w:val="0"/>
                <w:sz w:val="24"/>
                <w:highlight w:val="none"/>
              </w:rPr>
              <w:t>内（</w:t>
            </w:r>
            <w:r>
              <w:rPr>
                <w:rFonts w:hint="eastAsia" w:ascii="宋体" w:hAnsi="宋体" w:eastAsia="宋体" w:cs="宋体"/>
                <w:color w:val="auto"/>
                <w:sz w:val="24"/>
                <w:highlight w:val="none"/>
              </w:rPr>
              <w:t>根据《黑龙江省环境天然贯穿辐射水平调查研究》报告，黑龙江省室内、外环境γ辐射空气吸收剂量率本底范围是：室内：54.8</w:t>
            </w:r>
            <w:r>
              <w:rPr>
                <w:rFonts w:hint="eastAsia" w:ascii="宋体" w:hAnsi="宋体" w:eastAsia="宋体" w:cs="宋体"/>
                <w:color w:val="auto"/>
                <w:sz w:val="24"/>
                <w:highlight w:val="none"/>
                <w:lang w:val="en-US" w:eastAsia="zh-CN"/>
              </w:rPr>
              <w:t>~</w:t>
            </w:r>
            <w:r>
              <w:rPr>
                <w:rFonts w:hint="eastAsia" w:ascii="宋体" w:hAnsi="宋体" w:eastAsia="宋体" w:cs="宋体"/>
                <w:color w:val="auto"/>
                <w:sz w:val="24"/>
                <w:highlight w:val="none"/>
              </w:rPr>
              <w:t>163.0nGy</w:t>
            </w:r>
            <w:r>
              <w:rPr>
                <w:rFonts w:hint="eastAsia" w:ascii="宋体" w:hAnsi="宋体" w:eastAsia="宋体" w:cs="宋体"/>
                <w:color w:val="auto"/>
                <w:sz w:val="24"/>
                <w:highlight w:val="none"/>
              </w:rPr>
              <w:sym w:font="Symbol" w:char="F0D7"/>
            </w:r>
            <w:r>
              <w:rPr>
                <w:rFonts w:hint="eastAsia" w:ascii="宋体" w:hAnsi="宋体" w:eastAsia="宋体" w:cs="宋体"/>
                <w:color w:val="auto"/>
                <w:sz w:val="24"/>
                <w:highlight w:val="none"/>
              </w:rPr>
              <w:t>h</w:t>
            </w:r>
            <w:r>
              <w:rPr>
                <w:rFonts w:hint="eastAsia" w:ascii="宋体" w:hAnsi="宋体" w:eastAsia="宋体" w:cs="宋体"/>
                <w:color w:val="auto"/>
                <w:sz w:val="24"/>
                <w:highlight w:val="none"/>
                <w:vertAlign w:val="superscript"/>
              </w:rPr>
              <w:t>-1</w:t>
            </w:r>
            <w:r>
              <w:rPr>
                <w:rFonts w:hint="eastAsia" w:ascii="宋体" w:hAnsi="宋体" w:eastAsia="宋体" w:cs="宋体"/>
                <w:color w:val="auto"/>
                <w:sz w:val="24"/>
                <w:highlight w:val="none"/>
              </w:rPr>
              <w:t>，平均值113.8 nGy</w:t>
            </w:r>
            <w:r>
              <w:rPr>
                <w:rFonts w:hint="eastAsia" w:ascii="宋体" w:hAnsi="宋体" w:eastAsia="宋体" w:cs="宋体"/>
                <w:color w:val="auto"/>
                <w:sz w:val="24"/>
                <w:highlight w:val="none"/>
              </w:rPr>
              <w:sym w:font="Symbol" w:char="F0D7"/>
            </w:r>
            <w:r>
              <w:rPr>
                <w:rFonts w:hint="eastAsia" w:ascii="宋体" w:hAnsi="宋体" w:eastAsia="宋体" w:cs="宋体"/>
                <w:color w:val="auto"/>
                <w:sz w:val="24"/>
                <w:highlight w:val="none"/>
              </w:rPr>
              <w:t>h</w:t>
            </w:r>
            <w:r>
              <w:rPr>
                <w:rFonts w:hint="eastAsia" w:ascii="宋体" w:hAnsi="宋体" w:eastAsia="宋体" w:cs="宋体"/>
                <w:color w:val="auto"/>
                <w:sz w:val="24"/>
                <w:highlight w:val="none"/>
                <w:vertAlign w:val="superscript"/>
              </w:rPr>
              <w:t>-1</w:t>
            </w:r>
            <w:r>
              <w:rPr>
                <w:rFonts w:hint="eastAsia" w:ascii="宋体" w:hAnsi="宋体" w:eastAsia="宋体" w:cs="宋体"/>
                <w:color w:val="auto"/>
                <w:sz w:val="24"/>
                <w:highlight w:val="none"/>
              </w:rPr>
              <w:t>（未扣除室内宇宙射线响应值28.6 nGy</w:t>
            </w:r>
            <w:r>
              <w:rPr>
                <w:rFonts w:hint="eastAsia" w:ascii="宋体" w:hAnsi="宋体" w:eastAsia="宋体" w:cs="宋体"/>
                <w:color w:val="auto"/>
                <w:sz w:val="24"/>
                <w:highlight w:val="none"/>
              </w:rPr>
              <w:sym w:font="Symbol" w:char="F0D7"/>
            </w:r>
            <w:r>
              <w:rPr>
                <w:rFonts w:hint="eastAsia" w:ascii="宋体" w:hAnsi="宋体" w:eastAsia="宋体" w:cs="宋体"/>
                <w:color w:val="auto"/>
                <w:sz w:val="24"/>
                <w:highlight w:val="none"/>
              </w:rPr>
              <w:t>h</w:t>
            </w:r>
            <w:r>
              <w:rPr>
                <w:rFonts w:hint="eastAsia" w:ascii="宋体" w:hAnsi="宋体" w:eastAsia="宋体" w:cs="宋体"/>
                <w:color w:val="auto"/>
                <w:sz w:val="24"/>
                <w:highlight w:val="none"/>
                <w:vertAlign w:val="superscript"/>
              </w:rPr>
              <w:t>-1</w:t>
            </w:r>
            <w:r>
              <w:rPr>
                <w:rFonts w:hint="eastAsia" w:ascii="宋体" w:hAnsi="宋体" w:cs="宋体"/>
                <w:color w:val="auto"/>
                <w:kern w:val="0"/>
                <w:sz w:val="24"/>
                <w:highlight w:val="none"/>
                <w:lang w:eastAsia="zh-CN"/>
              </w:rPr>
              <w:t>）</w:t>
            </w:r>
            <w:r>
              <w:rPr>
                <w:rFonts w:hint="eastAsia" w:ascii="宋体" w:hAnsi="宋体" w:eastAsia="宋体" w:cs="宋体"/>
                <w:color w:val="auto"/>
                <w:sz w:val="24"/>
                <w:highlight w:val="none"/>
              </w:rPr>
              <w:t>；室外：54.0-229.3nGy</w:t>
            </w:r>
            <w:r>
              <w:rPr>
                <w:rFonts w:hint="eastAsia" w:ascii="宋体" w:hAnsi="宋体" w:eastAsia="宋体" w:cs="宋体"/>
                <w:color w:val="auto"/>
                <w:sz w:val="24"/>
                <w:highlight w:val="none"/>
              </w:rPr>
              <w:sym w:font="Symbol" w:char="F0D7"/>
            </w:r>
            <w:r>
              <w:rPr>
                <w:rFonts w:hint="eastAsia" w:ascii="宋体" w:hAnsi="宋体" w:eastAsia="宋体" w:cs="宋体"/>
                <w:color w:val="auto"/>
                <w:sz w:val="24"/>
                <w:highlight w:val="none"/>
              </w:rPr>
              <w:t>h</w:t>
            </w:r>
            <w:r>
              <w:rPr>
                <w:rFonts w:hint="eastAsia" w:ascii="宋体" w:hAnsi="宋体" w:eastAsia="宋体" w:cs="宋体"/>
                <w:color w:val="auto"/>
                <w:sz w:val="24"/>
                <w:highlight w:val="none"/>
                <w:vertAlign w:val="superscript"/>
              </w:rPr>
              <w:t>-1</w:t>
            </w:r>
            <w:r>
              <w:rPr>
                <w:rFonts w:hint="eastAsia" w:ascii="宋体" w:hAnsi="宋体" w:eastAsia="宋体" w:cs="宋体"/>
                <w:color w:val="auto"/>
                <w:sz w:val="24"/>
                <w:highlight w:val="none"/>
              </w:rPr>
              <w:t>，平均值85.9 nGy</w:t>
            </w:r>
            <w:r>
              <w:rPr>
                <w:rFonts w:hint="eastAsia" w:ascii="宋体" w:hAnsi="宋体" w:eastAsia="宋体" w:cs="宋体"/>
                <w:color w:val="auto"/>
                <w:sz w:val="24"/>
                <w:highlight w:val="none"/>
              </w:rPr>
              <w:sym w:font="Symbol" w:char="F0D7"/>
            </w:r>
            <w:r>
              <w:rPr>
                <w:rFonts w:hint="eastAsia" w:ascii="宋体" w:hAnsi="宋体" w:eastAsia="宋体" w:cs="宋体"/>
                <w:color w:val="auto"/>
                <w:sz w:val="24"/>
                <w:highlight w:val="none"/>
              </w:rPr>
              <w:t>h</w:t>
            </w:r>
            <w:r>
              <w:rPr>
                <w:rFonts w:hint="eastAsia" w:ascii="宋体" w:hAnsi="宋体" w:eastAsia="宋体" w:cs="宋体"/>
                <w:color w:val="auto"/>
                <w:sz w:val="24"/>
                <w:highlight w:val="none"/>
                <w:vertAlign w:val="superscript"/>
              </w:rPr>
              <w:t>-1</w:t>
            </w:r>
            <w:r>
              <w:rPr>
                <w:rFonts w:hint="eastAsia" w:ascii="宋体" w:hAnsi="宋体" w:eastAsia="宋体" w:cs="宋体"/>
                <w:color w:val="auto"/>
                <w:sz w:val="24"/>
                <w:highlight w:val="none"/>
              </w:rPr>
              <w:t>（未扣除室外宇宙射线响应值32.4 nGy</w:t>
            </w:r>
            <w:r>
              <w:rPr>
                <w:rFonts w:hint="eastAsia" w:ascii="宋体" w:hAnsi="宋体" w:eastAsia="宋体" w:cs="宋体"/>
                <w:color w:val="auto"/>
                <w:sz w:val="24"/>
                <w:highlight w:val="none"/>
              </w:rPr>
              <w:sym w:font="Symbol" w:char="F0D7"/>
            </w:r>
            <w:r>
              <w:rPr>
                <w:rFonts w:hint="eastAsia" w:ascii="宋体" w:hAnsi="宋体" w:eastAsia="宋体" w:cs="宋体"/>
                <w:color w:val="auto"/>
                <w:sz w:val="24"/>
                <w:highlight w:val="none"/>
              </w:rPr>
              <w:t>h</w:t>
            </w:r>
            <w:r>
              <w:rPr>
                <w:rFonts w:hint="eastAsia" w:ascii="宋体" w:hAnsi="宋体" w:eastAsia="宋体" w:cs="宋体"/>
                <w:color w:val="auto"/>
                <w:sz w:val="24"/>
                <w:highlight w:val="none"/>
                <w:vertAlign w:val="superscript"/>
              </w:rPr>
              <w:t>-1</w:t>
            </w:r>
            <w:r>
              <w:rPr>
                <w:rFonts w:hint="eastAsia" w:ascii="宋体" w:hAnsi="宋体" w:eastAsia="宋体" w:cs="宋体"/>
                <w:color w:val="auto"/>
                <w:sz w:val="24"/>
                <w:highlight w:val="none"/>
              </w:rPr>
              <w:t>）；</w:t>
            </w:r>
            <w:r>
              <w:rPr>
                <w:rFonts w:hint="eastAsia" w:ascii="宋体" w:hAnsi="宋体" w:eastAsia="宋体" w:cs="宋体"/>
                <w:color w:val="auto"/>
                <w:kern w:val="0"/>
                <w:sz w:val="24"/>
                <w:highlight w:val="none"/>
              </w:rPr>
              <w:t>监测结果未见异常。</w:t>
            </w:r>
          </w:p>
          <w:p>
            <w:pPr>
              <w:spacing w:line="336" w:lineRule="auto"/>
              <w:ind w:firstLine="480" w:firstLineChars="200"/>
              <w:jc w:val="left"/>
              <w:rPr>
                <w:rFonts w:hint="eastAsia" w:ascii="宋体" w:hAnsi="宋体" w:eastAsia="宋体" w:cs="宋体"/>
                <w:color w:val="auto"/>
                <w:kern w:val="0"/>
                <w:sz w:val="24"/>
                <w:highlight w:val="none"/>
              </w:rPr>
            </w:pPr>
          </w:p>
          <w:p>
            <w:pPr>
              <w:spacing w:line="336" w:lineRule="auto"/>
              <w:ind w:firstLine="480" w:firstLineChars="200"/>
              <w:jc w:val="left"/>
              <w:rPr>
                <w:rFonts w:hint="eastAsia" w:ascii="宋体" w:hAnsi="宋体" w:eastAsia="宋体" w:cs="宋体"/>
                <w:color w:val="auto"/>
                <w:kern w:val="0"/>
                <w:sz w:val="24"/>
                <w:highlight w:val="none"/>
              </w:rPr>
            </w:pPr>
          </w:p>
          <w:p>
            <w:pPr>
              <w:spacing w:line="336" w:lineRule="auto"/>
              <w:ind w:firstLine="480" w:firstLineChars="200"/>
              <w:jc w:val="left"/>
              <w:rPr>
                <w:rFonts w:hint="eastAsia" w:ascii="宋体" w:hAnsi="宋体" w:eastAsia="宋体" w:cs="宋体"/>
                <w:color w:val="auto"/>
                <w:kern w:val="0"/>
                <w:sz w:val="24"/>
                <w:highlight w:val="none"/>
              </w:rPr>
            </w:pPr>
          </w:p>
          <w:p>
            <w:pPr>
              <w:spacing w:line="336" w:lineRule="auto"/>
              <w:ind w:firstLine="480" w:firstLineChars="200"/>
              <w:jc w:val="left"/>
              <w:rPr>
                <w:rFonts w:hint="eastAsia" w:ascii="宋体" w:hAnsi="宋体" w:eastAsia="宋体" w:cs="宋体"/>
                <w:color w:val="auto"/>
                <w:kern w:val="0"/>
                <w:sz w:val="24"/>
                <w:highlight w:val="none"/>
              </w:rPr>
            </w:pPr>
          </w:p>
          <w:p>
            <w:pPr>
              <w:spacing w:line="336" w:lineRule="auto"/>
              <w:ind w:firstLine="480" w:firstLineChars="200"/>
              <w:jc w:val="left"/>
              <w:rPr>
                <w:rFonts w:hint="eastAsia" w:ascii="宋体" w:hAnsi="宋体" w:eastAsia="宋体" w:cs="宋体"/>
                <w:color w:val="auto"/>
                <w:kern w:val="0"/>
                <w:sz w:val="24"/>
                <w:highlight w:val="none"/>
              </w:rPr>
            </w:pPr>
          </w:p>
          <w:p>
            <w:pPr>
              <w:spacing w:line="336" w:lineRule="auto"/>
              <w:ind w:firstLine="480" w:firstLineChars="200"/>
              <w:jc w:val="left"/>
              <w:rPr>
                <w:rFonts w:hint="eastAsia" w:ascii="宋体" w:hAnsi="宋体" w:eastAsia="宋体" w:cs="宋体"/>
                <w:color w:val="auto"/>
                <w:kern w:val="0"/>
                <w:sz w:val="24"/>
                <w:highlight w:val="none"/>
              </w:rPr>
            </w:pPr>
          </w:p>
          <w:p>
            <w:pPr>
              <w:spacing w:line="336" w:lineRule="auto"/>
              <w:ind w:firstLine="480" w:firstLineChars="200"/>
              <w:jc w:val="left"/>
              <w:rPr>
                <w:rFonts w:hint="eastAsia" w:ascii="宋体" w:hAnsi="宋体" w:eastAsia="宋体" w:cs="宋体"/>
                <w:color w:val="auto"/>
                <w:kern w:val="0"/>
                <w:sz w:val="24"/>
                <w:highlight w:val="none"/>
              </w:rPr>
            </w:pPr>
          </w:p>
          <w:p>
            <w:pPr>
              <w:spacing w:line="336" w:lineRule="auto"/>
              <w:ind w:firstLine="480" w:firstLineChars="200"/>
              <w:jc w:val="left"/>
              <w:rPr>
                <w:rFonts w:hint="eastAsia" w:ascii="宋体" w:hAnsi="宋体" w:eastAsia="宋体" w:cs="宋体"/>
                <w:color w:val="auto"/>
                <w:kern w:val="0"/>
                <w:sz w:val="24"/>
                <w:highlight w:val="none"/>
              </w:rPr>
            </w:pPr>
          </w:p>
          <w:p>
            <w:pPr>
              <w:spacing w:line="336" w:lineRule="auto"/>
              <w:ind w:firstLine="480" w:firstLineChars="200"/>
              <w:jc w:val="left"/>
              <w:rPr>
                <w:rFonts w:hint="eastAsia" w:ascii="宋体" w:hAnsi="宋体" w:eastAsia="宋体" w:cs="宋体"/>
                <w:color w:val="auto"/>
                <w:kern w:val="0"/>
                <w:sz w:val="24"/>
                <w:highlight w:val="none"/>
              </w:rPr>
            </w:pPr>
          </w:p>
        </w:tc>
      </w:tr>
    </w:tbl>
    <w:p>
      <w:pPr>
        <w:ind w:firstLine="420"/>
        <w:rPr>
          <w:rFonts w:hint="eastAsia" w:ascii="宋体" w:hAnsi="宋体" w:eastAsia="宋体" w:cs="宋体"/>
          <w:color w:val="0000FF"/>
          <w:highlight w:val="none"/>
        </w:rPr>
        <w:sectPr>
          <w:pgSz w:w="11906" w:h="16838"/>
          <w:pgMar w:top="1440" w:right="1588" w:bottom="1440" w:left="1588" w:header="851" w:footer="992" w:gutter="0"/>
          <w:pgBorders>
            <w:top w:val="none" w:sz="0" w:space="0"/>
            <w:left w:val="none" w:sz="0" w:space="0"/>
            <w:bottom w:val="none" w:sz="0" w:space="0"/>
            <w:right w:val="none" w:sz="0" w:space="0"/>
          </w:pgBorders>
          <w:cols w:space="425" w:num="1"/>
          <w:docGrid w:type="lines" w:linePitch="312" w:charSpace="0"/>
        </w:sectPr>
      </w:pPr>
    </w:p>
    <w:p>
      <w:pPr>
        <w:spacing w:line="360" w:lineRule="auto"/>
        <w:outlineLvl w:val="0"/>
        <w:rPr>
          <w:rFonts w:hint="eastAsia" w:ascii="宋体" w:hAnsi="宋体" w:eastAsia="宋体" w:cs="宋体"/>
          <w:b/>
          <w:color w:val="auto"/>
          <w:sz w:val="28"/>
          <w:szCs w:val="28"/>
          <w:highlight w:val="none"/>
        </w:rPr>
      </w:pPr>
      <w:bookmarkStart w:id="8" w:name="_Toc27819"/>
      <w:r>
        <w:rPr>
          <w:rFonts w:hint="eastAsia" w:ascii="宋体" w:hAnsi="宋体" w:eastAsia="宋体" w:cs="宋体"/>
          <w:b/>
          <w:color w:val="auto"/>
          <w:sz w:val="28"/>
          <w:szCs w:val="28"/>
          <w:highlight w:val="none"/>
        </w:rPr>
        <w:t>表9 项目工程分析与源项</w:t>
      </w:r>
      <w:bookmarkEnd w:id="8"/>
    </w:p>
    <w:tbl>
      <w:tblPr>
        <w:tblStyle w:val="18"/>
        <w:tblW w:w="8522" w:type="dxa"/>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408" w:hRule="atLeast"/>
        </w:trPr>
        <w:tc>
          <w:tcPr>
            <w:tcW w:w="8522" w:type="dxa"/>
          </w:tcPr>
          <w:p>
            <w:pPr>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9.1工程设备和工艺分析</w:t>
            </w:r>
          </w:p>
          <w:p>
            <w:pPr>
              <w:spacing w:line="360" w:lineRule="auto"/>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9.1.1直线加速器工作原理</w:t>
            </w:r>
          </w:p>
          <w:p>
            <w:pPr>
              <w:spacing w:line="360" w:lineRule="auto"/>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医用直线加速器是产生高能电子束的装置，为远距离放射性治疗机。当高能电子束与靶物质相互作用时产生韧致辐射，即X射线，其最大能量为电子束的最大能量。因此，医用电子直线加速器既可利用电子束对患者病灶进行照射，也可利用X线束对患者病灶进行照射，杀伤肿瘤细胞。</w:t>
            </w:r>
          </w:p>
          <w:p>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（1）设备组成</w:t>
            </w:r>
          </w:p>
          <w:p>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医用电子直线加速器是以磁控管为微波功率源的驻波型直线加速器。它的结构单元为：加速管、电子枪、微波系统、调制器、束流传输系统及准直系统、真空系统、恒温水冷系统和控制保护系统。医用直线加速器内部结构见图9-1。</w:t>
            </w:r>
          </w:p>
          <w:p>
            <w:pPr>
              <w:jc w:val="center"/>
              <w:rPr>
                <w:rFonts w:hint="eastAsia" w:ascii="宋体" w:hAnsi="宋体" w:eastAsia="宋体" w:cs="宋体"/>
                <w:color w:val="auto"/>
                <w:highlight w:val="none"/>
              </w:rPr>
            </w:pPr>
            <w:r>
              <w:rPr>
                <w:rFonts w:hint="eastAsia" w:ascii="宋体" w:hAnsi="宋体" w:eastAsia="宋体" w:cs="宋体"/>
                <w:color w:val="auto"/>
                <w:highlight w:val="none"/>
              </w:rPr>
              <w:t xml:space="preserve"> </w:t>
            </w:r>
            <w:r>
              <w:rPr>
                <w:rFonts w:hint="eastAsia" w:ascii="宋体" w:hAnsi="宋体" w:eastAsia="宋体" w:cs="宋体"/>
                <w:color w:val="auto"/>
                <w:highlight w:val="none"/>
              </w:rPr>
              <w:drawing>
                <wp:inline distT="0" distB="0" distL="0" distR="0">
                  <wp:extent cx="5200650" cy="2853055"/>
                  <wp:effectExtent l="0" t="0" r="0" b="4445"/>
                  <wp:docPr id="5" name="图片 34" descr="jiasuq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4" descr="jiasuqi"/>
                          <pic:cNvPicPr>
                            <a:picLocks noChangeAspect="1" noChangeArrowheads="1"/>
                          </pic:cNvPicPr>
                        </pic:nvPicPr>
                        <pic:blipFill>
                          <a:blip r:embed="rId14" cstate="print">
                            <a:lum bright="12000"/>
                          </a:blip>
                          <a:srcRect b="7992"/>
                          <a:stretch>
                            <a:fillRect/>
                          </a:stretch>
                        </pic:blipFill>
                        <pic:spPr>
                          <a:xfrm>
                            <a:off x="0" y="0"/>
                            <a:ext cx="5200650" cy="2853055"/>
                          </a:xfrm>
                          <a:prstGeom prst="rect">
                            <a:avLst/>
                          </a:prstGeom>
                          <a:noFill/>
                          <a:ln w="9525">
                            <a:noFill/>
                            <a:miter lim="800000"/>
                            <a:headEnd/>
                            <a:tailEnd/>
                          </a:ln>
                          <a:effectLst/>
                        </pic:spPr>
                      </pic:pic>
                    </a:graphicData>
                  </a:graphic>
                </wp:inline>
              </w:drawing>
            </w:r>
          </w:p>
          <w:p>
            <w:pPr>
              <w:spacing w:line="360" w:lineRule="auto"/>
              <w:jc w:val="center"/>
              <w:rPr>
                <w:rFonts w:hint="eastAsia" w:ascii="宋体" w:hAnsi="宋体" w:eastAsia="宋体" w:cs="宋体"/>
                <w:b/>
                <w:color w:val="auto"/>
                <w:sz w:val="21"/>
                <w:szCs w:val="21"/>
              </w:rPr>
            </w:pPr>
            <w:r>
              <w:rPr>
                <w:rFonts w:hint="eastAsia" w:ascii="宋体" w:hAnsi="宋体" w:eastAsia="宋体" w:cs="宋体"/>
                <w:b/>
                <w:color w:val="auto"/>
                <w:sz w:val="21"/>
                <w:szCs w:val="21"/>
              </w:rPr>
              <w:t>图9-1 典型医用直线加速器内部结构框图</w:t>
            </w:r>
          </w:p>
          <w:p>
            <w:pPr>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（2）工作原理</w:t>
            </w:r>
          </w:p>
          <w:p>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医用直线加速器是产生高能电子束的装置，为远距离放射性治疗机。典型医用直线加速器示意见图9-2。电子枪产生的电子由微波加速波导管加速后进入偏转磁场，所形成的电子束由电子窗口射出，经调制、准直后射向患者病灶；或者通过2cm左右的空气射到金属钨靶，产生大量高能X线，其最大能量为电子束的最大能量，经一级准直器和滤线器形成剂量均匀稳定的X线束，再通过监测电离室和二次准直器限束，最后到达患者病灶实现治疗目的。因此，医用电子直线加速器既可利用电子束对患者病灶进行照射，也可利用X线束对患者病灶进行照射，杀伤肿瘤细胞。本项目加速器应用X线束对患者进行治疗。</w:t>
            </w:r>
          </w:p>
          <w:p>
            <w:pPr>
              <w:spacing w:line="360" w:lineRule="auto"/>
              <w:jc w:val="center"/>
              <w:rPr>
                <w:rFonts w:hint="eastAsia" w:ascii="宋体" w:hAnsi="宋体" w:eastAsia="宋体" w:cs="宋体"/>
                <w:color w:val="auto"/>
                <w:highlight w:val="none"/>
              </w:rPr>
            </w:pPr>
            <w:r>
              <w:rPr>
                <w:rFonts w:hint="eastAsia" w:ascii="宋体" w:hAnsi="宋体" w:eastAsia="宋体" w:cs="宋体"/>
                <w:color w:val="auto"/>
                <w:highlight w:val="none"/>
              </w:rPr>
              <w:drawing>
                <wp:inline distT="0" distB="0" distL="114300" distR="114300">
                  <wp:extent cx="3990975" cy="2791460"/>
                  <wp:effectExtent l="0" t="0" r="9525" b="8890"/>
                  <wp:docPr id="8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3"/>
                          <pic:cNvPicPr>
                            <a:picLocks noChangeAspect="1"/>
                          </pic:cNvPicPr>
                        </pic:nvPicPr>
                        <pic:blipFill>
                          <a:blip r:embed="rId15"/>
                          <a:stretch>
                            <a:fillRect/>
                          </a:stretch>
                        </pic:blipFill>
                        <pic:spPr>
                          <a:xfrm>
                            <a:off x="0" y="0"/>
                            <a:ext cx="3990975" cy="2791460"/>
                          </a:xfrm>
                          <a:prstGeom prst="rect">
                            <a:avLst/>
                          </a:prstGeom>
                          <a:noFill/>
                          <a:ln>
                            <a:noFill/>
                          </a:ln>
                        </pic:spPr>
                      </pic:pic>
                    </a:graphicData>
                  </a:graphic>
                </wp:inline>
              </w:drawing>
            </w:r>
          </w:p>
          <w:p>
            <w:pPr>
              <w:spacing w:line="360" w:lineRule="auto"/>
              <w:jc w:val="center"/>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图9-2 医用直线加速器示意图</w:t>
            </w:r>
          </w:p>
          <w:p>
            <w:pPr>
              <w:spacing w:line="240" w:lineRule="auto"/>
              <w:ind w:firstLine="422" w:firstLineChars="200"/>
              <w:jc w:val="center"/>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表 9-1 本项目加速器性能参数表</w:t>
            </w:r>
          </w:p>
          <w:tbl>
            <w:tblPr>
              <w:tblStyle w:val="19"/>
              <w:tblW w:w="0" w:type="auto"/>
              <w:tblInd w:w="137" w:type="dxa"/>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1993"/>
              <w:gridCol w:w="6161"/>
            </w:tblGrid>
            <w:tr>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trPr>
              <w:tc>
                <w:tcPr>
                  <w:tcW w:w="1993" w:type="dxa"/>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项目</w:t>
                  </w:r>
                </w:p>
              </w:tc>
              <w:tc>
                <w:tcPr>
                  <w:tcW w:w="6161" w:type="dxa"/>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性能参数</w:t>
                  </w:r>
                </w:p>
              </w:tc>
            </w:tr>
            <w:tr>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636" w:hRule="atLeast"/>
              </w:trPr>
              <w:tc>
                <w:tcPr>
                  <w:tcW w:w="1993" w:type="dxa"/>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加速器</w:t>
                  </w:r>
                </w:p>
              </w:tc>
              <w:tc>
                <w:tcPr>
                  <w:tcW w:w="6161" w:type="dxa"/>
                </w:tcPr>
                <w:p>
                  <w:pPr>
                    <w:pStyle w:val="31"/>
                    <w:numPr>
                      <w:ilvl w:val="0"/>
                      <w:numId w:val="4"/>
                    </w:numPr>
                    <w:spacing w:line="240" w:lineRule="auto"/>
                    <w:ind w:firstLineChars="0"/>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型号：</w:t>
                  </w:r>
                  <w:r>
                    <w:rPr>
                      <w:rFonts w:hint="eastAsia" w:ascii="宋体" w:hAnsi="宋体" w:eastAsia="宋体" w:cs="宋体"/>
                      <w:color w:val="auto"/>
                      <w:sz w:val="21"/>
                      <w:szCs w:val="21"/>
                      <w:highlight w:val="none"/>
                      <w:lang w:eastAsia="zh-CN"/>
                    </w:rPr>
                    <w:t xml:space="preserve">Elekta Synergy </w:t>
                  </w:r>
                </w:p>
                <w:p>
                  <w:pPr>
                    <w:pStyle w:val="31"/>
                    <w:numPr>
                      <w:ilvl w:val="0"/>
                      <w:numId w:val="4"/>
                    </w:numPr>
                    <w:spacing w:line="240" w:lineRule="auto"/>
                    <w:ind w:firstLineChars="0"/>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生产厂家：</w:t>
                  </w:r>
                  <w:r>
                    <w:rPr>
                      <w:rFonts w:hint="eastAsia" w:ascii="宋体" w:hAnsi="宋体" w:eastAsia="宋体" w:cs="宋体"/>
                      <w:color w:val="auto"/>
                      <w:sz w:val="21"/>
                      <w:szCs w:val="21"/>
                      <w:highlight w:val="none"/>
                      <w:lang w:val="en-US" w:eastAsia="zh-CN"/>
                    </w:rPr>
                    <w:t>医科达</w:t>
                  </w:r>
                </w:p>
                <w:p>
                  <w:pPr>
                    <w:pStyle w:val="31"/>
                    <w:numPr>
                      <w:ilvl w:val="0"/>
                      <w:numId w:val="4"/>
                    </w:numPr>
                    <w:spacing w:line="240" w:lineRule="auto"/>
                    <w:ind w:firstLineChars="0"/>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X射线能量及最大剂量率：</w:t>
                  </w:r>
                  <w:r>
                    <w:rPr>
                      <w:rFonts w:hint="eastAsia" w:ascii="宋体" w:hAnsi="宋体" w:eastAsia="宋体" w:cs="宋体"/>
                      <w:color w:val="auto"/>
                      <w:sz w:val="21"/>
                      <w:szCs w:val="21"/>
                      <w:highlight w:val="none"/>
                      <w:lang w:val="en-US" w:eastAsia="zh-CN"/>
                    </w:rPr>
                    <w:t>10</w:t>
                  </w:r>
                  <w:r>
                    <w:rPr>
                      <w:rFonts w:hint="eastAsia" w:ascii="宋体" w:hAnsi="宋体" w:eastAsia="宋体" w:cs="宋体"/>
                      <w:color w:val="auto"/>
                      <w:sz w:val="21"/>
                      <w:szCs w:val="21"/>
                      <w:highlight w:val="none"/>
                    </w:rPr>
                    <w:t>MV，</w:t>
                  </w:r>
                  <w:r>
                    <w:rPr>
                      <w:rFonts w:hint="eastAsia" w:ascii="宋体" w:hAnsi="宋体" w:eastAsia="宋体" w:cs="宋体"/>
                      <w:color w:val="auto"/>
                      <w:sz w:val="21"/>
                      <w:szCs w:val="21"/>
                      <w:highlight w:val="none"/>
                      <w:lang w:val="en-US" w:eastAsia="zh-CN"/>
                    </w:rPr>
                    <w:t>600</w:t>
                  </w:r>
                  <w:r>
                    <w:rPr>
                      <w:rFonts w:hint="eastAsia" w:ascii="宋体" w:hAnsi="宋体" w:eastAsia="宋体" w:cs="宋体"/>
                      <w:color w:val="auto"/>
                      <w:sz w:val="21"/>
                      <w:szCs w:val="21"/>
                      <w:highlight w:val="none"/>
                    </w:rPr>
                    <w:t>cGy/min；</w:t>
                  </w:r>
                </w:p>
                <w:p>
                  <w:pPr>
                    <w:pStyle w:val="31"/>
                    <w:numPr>
                      <w:ilvl w:val="0"/>
                      <w:numId w:val="0"/>
                    </w:numPr>
                    <w:spacing w:line="240" w:lineRule="auto"/>
                    <w:ind w:leftChars="0" w:firstLine="420" w:firstLineChars="200"/>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电子束：15MeV；</w:t>
                  </w:r>
                </w:p>
                <w:p>
                  <w:pPr>
                    <w:spacing w:line="240" w:lineRule="auto"/>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d</w:t>
                  </w:r>
                  <w:r>
                    <w:rPr>
                      <w:rFonts w:hint="eastAsia" w:ascii="宋体" w:hAnsi="宋体" w:eastAsia="宋体" w:cs="宋体"/>
                      <w:color w:val="auto"/>
                      <w:sz w:val="21"/>
                      <w:szCs w:val="21"/>
                      <w:highlight w:val="none"/>
                    </w:rPr>
                    <w:t>）最大视野尺寸：40cm×40cm；</w:t>
                  </w:r>
                </w:p>
                <w:p>
                  <w:pPr>
                    <w:spacing w:line="240" w:lineRule="auto"/>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e</w:t>
                  </w:r>
                  <w:r>
                    <w:rPr>
                      <w:rFonts w:hint="eastAsia" w:ascii="宋体" w:hAnsi="宋体" w:eastAsia="宋体" w:cs="宋体"/>
                      <w:color w:val="auto"/>
                      <w:sz w:val="21"/>
                      <w:szCs w:val="21"/>
                      <w:highlight w:val="none"/>
                    </w:rPr>
                    <w:t>）靶点到等中心点距离：100cm；</w:t>
                  </w:r>
                </w:p>
                <w:p>
                  <w:pPr>
                    <w:spacing w:line="240" w:lineRule="auto"/>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f</w:t>
                  </w:r>
                  <w:r>
                    <w:rPr>
                      <w:rFonts w:hint="eastAsia" w:ascii="宋体" w:hAnsi="宋体" w:eastAsia="宋体" w:cs="宋体"/>
                      <w:color w:val="auto"/>
                      <w:sz w:val="21"/>
                      <w:szCs w:val="21"/>
                      <w:highlight w:val="none"/>
                    </w:rPr>
                    <w:t>）等中心点高度：</w:t>
                  </w:r>
                  <w:r>
                    <w:rPr>
                      <w:rFonts w:hint="eastAsia" w:ascii="宋体" w:hAnsi="宋体" w:eastAsia="宋体" w:cs="宋体"/>
                      <w:color w:val="auto"/>
                      <w:sz w:val="21"/>
                      <w:szCs w:val="21"/>
                      <w:highlight w:val="none"/>
                      <w:lang w:val="en-US" w:eastAsia="zh-CN"/>
                    </w:rPr>
                    <w:t>124.5</w:t>
                  </w:r>
                  <w:r>
                    <w:rPr>
                      <w:rFonts w:hint="eastAsia" w:ascii="宋体" w:hAnsi="宋体" w:eastAsia="宋体" w:cs="宋体"/>
                      <w:color w:val="auto"/>
                      <w:sz w:val="21"/>
                      <w:szCs w:val="21"/>
                      <w:highlight w:val="none"/>
                    </w:rPr>
                    <w:t>cm；</w:t>
                  </w:r>
                </w:p>
                <w:p>
                  <w:pPr>
                    <w:spacing w:line="240" w:lineRule="auto"/>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g</w:t>
                  </w:r>
                  <w:r>
                    <w:rPr>
                      <w:rFonts w:hint="eastAsia" w:ascii="宋体" w:hAnsi="宋体" w:eastAsia="宋体" w:cs="宋体"/>
                      <w:color w:val="auto"/>
                      <w:sz w:val="21"/>
                      <w:szCs w:val="21"/>
                      <w:highlight w:val="none"/>
                    </w:rPr>
                    <w:t>）X射线泄漏率：≤0.01%；</w:t>
                  </w:r>
                </w:p>
              </w:tc>
            </w:tr>
            <w:tr>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026" w:hRule="atLeast"/>
              </w:trPr>
              <w:tc>
                <w:tcPr>
                  <w:tcW w:w="1993" w:type="dxa"/>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CBCT</w:t>
                  </w:r>
                </w:p>
              </w:tc>
              <w:tc>
                <w:tcPr>
                  <w:tcW w:w="6161" w:type="dxa"/>
                </w:tcPr>
                <w:p>
                  <w:pPr>
                    <w:spacing w:line="240" w:lineRule="auto"/>
                    <w:jc w:val="lef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a）型号：kV-CBCT</w:t>
                  </w:r>
                </w:p>
                <w:p>
                  <w:pPr>
                    <w:spacing w:line="240" w:lineRule="auto"/>
                    <w:jc w:val="lef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b）高压发生器：40kW；</w:t>
                  </w:r>
                </w:p>
                <w:p>
                  <w:pPr>
                    <w:spacing w:line="240" w:lineRule="auto"/>
                    <w:jc w:val="left"/>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highlight w:val="none"/>
                      <w:lang w:val="en-US" w:eastAsia="zh-CN"/>
                    </w:rPr>
                    <w:t>c）射线能量：70~150kVp</w:t>
                  </w:r>
                </w:p>
              </w:tc>
            </w:tr>
          </w:tbl>
          <w:p>
            <w:pPr>
              <w:spacing w:line="360" w:lineRule="auto"/>
              <w:ind w:firstLine="422" w:firstLineChars="200"/>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注：该加速器无FFF模式</w:t>
            </w:r>
          </w:p>
          <w:p>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（3）操作流程（</w:t>
            </w:r>
            <w:r>
              <w:rPr>
                <w:rFonts w:hint="eastAsia" w:ascii="宋体" w:hAnsi="宋体" w:eastAsia="宋体" w:cs="宋体"/>
                <w:color w:val="auto"/>
                <w:sz w:val="24"/>
                <w:szCs w:val="24"/>
                <w:highlight w:val="none"/>
                <w:lang w:val="en-US" w:eastAsia="zh-CN"/>
              </w:rPr>
              <w:t>本项目设备本身自带CBCT功能</w:t>
            </w:r>
            <w:r>
              <w:rPr>
                <w:rFonts w:hint="eastAsia" w:ascii="宋体" w:hAnsi="宋体" w:eastAsia="宋体" w:cs="宋体"/>
                <w:color w:val="auto"/>
                <w:sz w:val="24"/>
                <w:szCs w:val="24"/>
                <w:highlight w:val="none"/>
              </w:rPr>
              <w:t>）</w:t>
            </w:r>
          </w:p>
          <w:p>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1 \* GB3</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①</w:t>
            </w:r>
            <w:r>
              <w:rPr>
                <w:rFonts w:hint="eastAsia" w:ascii="宋体" w:hAnsi="宋体" w:eastAsia="宋体" w:cs="宋体"/>
                <w:color w:val="auto"/>
                <w:sz w:val="24"/>
                <w:szCs w:val="24"/>
                <w:highlight w:val="none"/>
                <w:lang w:eastAsia="zh-CN"/>
              </w:rPr>
              <w:t>接收</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t>病人：对病人进行登记，进行临床检查，经医生诊断和治疗正当性判定后，根据肿瘤分期、分型确定治疗方针，与放疗科预约登记，确定模拟定位治疗的时间。</w:t>
            </w:r>
          </w:p>
          <w:p>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2 \* GB3</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②</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t>制模：为方便患者治疗定位，用热塑体模在相应治疗部位按照病人身体轮廓进行塑形。</w:t>
            </w:r>
          </w:p>
          <w:p>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3 \* GB3</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③</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t>模拟定位：使用</w:t>
            </w:r>
            <w:r>
              <w:rPr>
                <w:rFonts w:hint="eastAsia" w:ascii="宋体" w:hAnsi="宋体" w:eastAsia="宋体" w:cs="宋体"/>
                <w:color w:val="auto"/>
                <w:sz w:val="24"/>
                <w:szCs w:val="24"/>
                <w:highlight w:val="none"/>
                <w:lang w:val="en-US" w:eastAsia="zh-CN"/>
              </w:rPr>
              <w:t>CBCT</w:t>
            </w:r>
            <w:r>
              <w:rPr>
                <w:rFonts w:hint="eastAsia" w:ascii="宋体" w:hAnsi="宋体" w:eastAsia="宋体" w:cs="宋体"/>
                <w:color w:val="auto"/>
                <w:sz w:val="24"/>
                <w:szCs w:val="24"/>
                <w:highlight w:val="none"/>
              </w:rPr>
              <w:t>对患者肿瘤定位检查，确定肿瘤的具体位置和形状，后确定照射的方向、角度和视野大小，拍片定位。</w:t>
            </w:r>
          </w:p>
          <w:p>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4 \* GB3</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④</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t>制订治疗计划。根据患者所患疾病的性质、部位和大小确定照射剂量和照射时间。</w:t>
            </w:r>
          </w:p>
          <w:p>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5 \* GB3</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⑤</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t>治疗计划确认</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再次确认靶区剂量</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核实正常器官、热点和冷点是否在允许的范围之内，加速器是否有相应的转床、碰床等机械限值，移床等坐标设置是否正确。</w:t>
            </w:r>
          </w:p>
          <w:p>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6 \* GB3</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⑥</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t>病人摆位。摆位前认真查对病人信息、照射条件及摆位要求，调整治疗床高度，严格按照要求实施摆位；摆位结束，摆位人员等非患者均离开治疗室，关闭防护门。</w:t>
            </w:r>
          </w:p>
          <w:p>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7 \* GB3</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⑦</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t>实施治疗：根据放疗计划，运用有关技术实施精确照射。</w:t>
            </w:r>
          </w:p>
          <w:p>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8 \* GB3</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t>⑧</w:t>
            </w:r>
            <w:r>
              <w:rPr>
                <w:rFonts w:hint="eastAsia" w:ascii="宋体" w:hAnsi="宋体" w:eastAsia="宋体" w:cs="宋体"/>
                <w:color w:val="auto"/>
                <w:sz w:val="24"/>
                <w:szCs w:val="24"/>
                <w:highlight w:val="none"/>
              </w:rPr>
              <w:fldChar w:fldCharType="end"/>
            </w:r>
            <w:r>
              <w:rPr>
                <w:rFonts w:hint="eastAsia" w:ascii="宋体" w:hAnsi="宋体" w:eastAsia="宋体" w:cs="宋体"/>
                <w:color w:val="auto"/>
                <w:sz w:val="24"/>
                <w:szCs w:val="24"/>
                <w:highlight w:val="none"/>
              </w:rPr>
              <w:t>结束治疗：病人离开治疗室，摆位人员进行下一个患者摆位准备。</w:t>
            </w:r>
          </w:p>
          <w:p>
            <w:pPr>
              <w:spacing w:line="360" w:lineRule="auto"/>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drawing>
                <wp:inline distT="0" distB="0" distL="114300" distR="114300">
                  <wp:extent cx="4067175" cy="4893945"/>
                  <wp:effectExtent l="0" t="0" r="9525" b="1905"/>
                  <wp:docPr id="110" name="图片 110" descr="双矿医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双矿医院"/>
                          <pic:cNvPicPr>
                            <a:picLocks noChangeAspect="1"/>
                          </pic:cNvPicPr>
                        </pic:nvPicPr>
                        <pic:blipFill>
                          <a:blip r:embed="rId16"/>
                          <a:stretch>
                            <a:fillRect/>
                          </a:stretch>
                        </pic:blipFill>
                        <pic:spPr>
                          <a:xfrm>
                            <a:off x="0" y="0"/>
                            <a:ext cx="4067175" cy="4893945"/>
                          </a:xfrm>
                          <a:prstGeom prst="rect">
                            <a:avLst/>
                          </a:prstGeom>
                        </pic:spPr>
                      </pic:pic>
                    </a:graphicData>
                  </a:graphic>
                </wp:inline>
              </w:drawing>
            </w:r>
          </w:p>
          <w:p>
            <w:pPr>
              <w:widowControl/>
              <w:jc w:val="center"/>
              <w:rPr>
                <w:rFonts w:hint="eastAsia" w:ascii="宋体" w:hAnsi="宋体" w:eastAsia="宋体" w:cs="宋体"/>
                <w:color w:val="auto"/>
                <w:highlight w:val="none"/>
              </w:rPr>
            </w:pPr>
            <w:r>
              <w:rPr>
                <w:rFonts w:hint="eastAsia" w:ascii="宋体" w:hAnsi="宋体" w:eastAsia="宋体" w:cs="宋体"/>
                <w:b/>
                <w:color w:val="auto"/>
                <w:sz w:val="21"/>
                <w:szCs w:val="21"/>
                <w:highlight w:val="none"/>
              </w:rPr>
              <w:t>图9-3</w:t>
            </w:r>
            <w:r>
              <w:rPr>
                <w:rFonts w:hint="eastAsia" w:ascii="宋体" w:hAnsi="宋体" w:eastAsia="宋体" w:cs="宋体"/>
                <w:b/>
                <w:color w:val="auto"/>
                <w:kern w:val="0"/>
                <w:sz w:val="21"/>
                <w:szCs w:val="21"/>
                <w:highlight w:val="none"/>
              </w:rPr>
              <w:t>医用电子直线加速器工作流程及产污节点图</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2902" w:hRule="atLeast"/>
        </w:trPr>
        <w:tc>
          <w:tcPr>
            <w:tcW w:w="8522" w:type="dxa"/>
          </w:tcPr>
          <w:p>
            <w:pPr>
              <w:spacing w:line="360" w:lineRule="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9.2污染源项描述</w:t>
            </w:r>
          </w:p>
          <w:p>
            <w:pPr>
              <w:autoSpaceDE w:val="0"/>
              <w:autoSpaceDN w:val="0"/>
              <w:adjustRightInd w:val="0"/>
              <w:spacing w:line="360" w:lineRule="auto"/>
              <w:jc w:val="left"/>
              <w:rPr>
                <w:rFonts w:hint="eastAsia" w:ascii="宋体" w:hAnsi="宋体" w:eastAsia="宋体" w:cs="宋体"/>
                <w:b/>
                <w:color w:val="auto"/>
                <w:sz w:val="24"/>
                <w:highlight w:val="none"/>
              </w:rPr>
            </w:pPr>
            <w:r>
              <w:rPr>
                <w:rFonts w:hint="eastAsia" w:ascii="宋体" w:hAnsi="宋体" w:eastAsia="宋体" w:cs="宋体"/>
                <w:b/>
                <w:color w:val="auto"/>
                <w:sz w:val="24"/>
                <w:highlight w:val="none"/>
              </w:rPr>
              <w:t>9.2.1</w:t>
            </w:r>
            <w:r>
              <w:rPr>
                <w:rFonts w:hint="eastAsia" w:ascii="宋体" w:hAnsi="宋体" w:eastAsia="宋体" w:cs="宋体"/>
                <w:b/>
                <w:color w:val="auto"/>
                <w:spacing w:val="16"/>
                <w:sz w:val="24"/>
                <w:highlight w:val="none"/>
              </w:rPr>
              <w:t>正常工况的污染途径</w:t>
            </w:r>
          </w:p>
          <w:p>
            <w:pPr>
              <w:spacing w:line="360" w:lineRule="auto"/>
              <w:ind w:firstLine="480" w:firstLineChars="200"/>
              <w:rPr>
                <w:rFonts w:hint="eastAsia" w:ascii="宋体" w:hAnsi="宋体" w:eastAsia="宋体" w:cs="宋体"/>
                <w:bCs/>
                <w:color w:val="auto"/>
                <w:sz w:val="24"/>
                <w:highlight w:val="none"/>
              </w:rPr>
            </w:pPr>
            <w:r>
              <w:rPr>
                <w:rFonts w:hint="eastAsia" w:ascii="宋体" w:hAnsi="宋体" w:eastAsia="宋体" w:cs="宋体"/>
                <w:bCs/>
                <w:color w:val="auto"/>
                <w:sz w:val="24"/>
                <w:highlight w:val="none"/>
              </w:rPr>
              <w:t>1、X射线</w:t>
            </w:r>
          </w:p>
          <w:p>
            <w:pPr>
              <w:spacing w:line="360" w:lineRule="auto"/>
              <w:ind w:firstLine="480" w:firstLineChars="200"/>
              <w:rPr>
                <w:rFonts w:hint="eastAsia" w:ascii="宋体" w:hAnsi="宋体" w:eastAsia="宋体" w:cs="宋体"/>
                <w:bCs/>
                <w:color w:val="auto"/>
                <w:sz w:val="24"/>
                <w:highlight w:val="none"/>
              </w:rPr>
            </w:pPr>
            <w:r>
              <w:rPr>
                <w:rFonts w:hint="eastAsia" w:ascii="宋体" w:hAnsi="宋体" w:eastAsia="宋体" w:cs="宋体"/>
                <w:bCs/>
                <w:color w:val="auto"/>
                <w:sz w:val="24"/>
                <w:highlight w:val="none"/>
              </w:rPr>
              <w:t>医用直线加速器电子枪产生的电子经过加速后，受到金属靶的阻止而产生韧致辐射X射线，其辐射可分为瞬发辐射和感生辐射两类。瞬时辐射包括初级辐射（被加速的电子）及其与靶材料或加速器的结构材料相互作用产生的次级辐射X射线等。瞬发辐射在加速器运行时产生，关机后即消失。剩余是指加速器的初级电子束和次级辐射在加速器结构材料及环境介质（包括空气、屏蔽物等）中诱发生成的感生放射性。剩余辐射在加速器关机后仍存在。而且随加速器的运行时间的增加而积累，随加速器关机时间的增加而减弱。但只有当粒子的能量大于核反应的阈能时，才会产生感生放射性。</w:t>
            </w:r>
          </w:p>
          <w:p>
            <w:pPr>
              <w:spacing w:line="360" w:lineRule="auto"/>
              <w:ind w:firstLine="480" w:firstLineChars="200"/>
              <w:rPr>
                <w:rFonts w:hint="eastAsia" w:ascii="宋体" w:hAnsi="宋体" w:eastAsia="宋体" w:cs="宋体"/>
                <w:bCs/>
                <w:color w:val="auto"/>
                <w:sz w:val="24"/>
                <w:highlight w:val="none"/>
              </w:rPr>
            </w:pPr>
            <w:r>
              <w:rPr>
                <w:rFonts w:hint="eastAsia" w:ascii="宋体" w:hAnsi="宋体" w:eastAsia="宋体" w:cs="宋体"/>
                <w:bCs/>
                <w:color w:val="auto"/>
                <w:sz w:val="24"/>
                <w:highlight w:val="none"/>
              </w:rPr>
              <w:t>本项目医用直线加速器的电子最高能量为</w:t>
            </w:r>
            <w:r>
              <w:rPr>
                <w:rFonts w:hint="eastAsia" w:ascii="宋体" w:hAnsi="宋体" w:eastAsia="宋体" w:cs="宋体"/>
                <w:bCs/>
                <w:color w:val="auto"/>
                <w:sz w:val="24"/>
                <w:highlight w:val="none"/>
                <w:lang w:val="en-US" w:eastAsia="zh-CN"/>
              </w:rPr>
              <w:t>15</w:t>
            </w:r>
            <w:r>
              <w:rPr>
                <w:rFonts w:hint="eastAsia" w:ascii="宋体" w:hAnsi="宋体" w:eastAsia="宋体" w:cs="宋体"/>
                <w:bCs/>
                <w:color w:val="auto"/>
                <w:sz w:val="24"/>
                <w:highlight w:val="none"/>
              </w:rPr>
              <w:t>MeV，电子与靶物质作用产生韧致辐射X射线。由于X射线的贯穿能力极强，对周围环境可能造成辐射污染，但运行时产生的X射线随加速器的开、关而产生和消失。加速器在运行时产生的高能电子束，因其贯穿能力远弱于X射线，在X射线得到充分屏蔽的条件下，电子束亦能得到足够的屏蔽。在加速器开机的时间内，产生的X射线为主要辐射环境污染因素。</w:t>
            </w:r>
          </w:p>
          <w:p>
            <w:pPr>
              <w:spacing w:line="360" w:lineRule="auto"/>
              <w:ind w:firstLine="480" w:firstLineChars="200"/>
              <w:rPr>
                <w:rFonts w:hint="eastAsia" w:ascii="宋体" w:hAnsi="宋体" w:eastAsia="宋体" w:cs="宋体"/>
                <w:bCs/>
                <w:color w:val="auto"/>
                <w:sz w:val="24"/>
                <w:highlight w:val="none"/>
                <w:lang w:val="en-US" w:eastAsia="zh-CN"/>
              </w:rPr>
            </w:pPr>
            <w:r>
              <w:rPr>
                <w:rFonts w:hint="eastAsia" w:ascii="宋体" w:hAnsi="宋体" w:eastAsia="宋体" w:cs="宋体"/>
                <w:bCs/>
                <w:color w:val="auto"/>
                <w:sz w:val="24"/>
                <w:highlight w:val="none"/>
              </w:rPr>
              <w:t>医用直线加速器在运行时，电子枪产生大量的电子，电子被加速后聚焦为一股束流，电子束虽然占据的体积小，但能量非常集中，电子束的贯穿能力比X射线弱，加速器四周的混凝土屏蔽墙能将其完全屏蔽。</w:t>
            </w:r>
          </w:p>
          <w:p>
            <w:pPr>
              <w:spacing w:line="360" w:lineRule="auto"/>
              <w:ind w:firstLine="480" w:firstLineChars="200"/>
              <w:rPr>
                <w:rFonts w:hint="eastAsia" w:ascii="宋体" w:hAnsi="宋体" w:eastAsia="宋体" w:cs="宋体"/>
                <w:bCs/>
                <w:color w:val="auto"/>
                <w:sz w:val="24"/>
                <w:highlight w:val="none"/>
                <w:lang w:val="en-US" w:eastAsia="zh-CN"/>
              </w:rPr>
            </w:pPr>
            <w:r>
              <w:rPr>
                <w:rFonts w:hint="eastAsia" w:ascii="宋体" w:hAnsi="宋体" w:eastAsia="宋体" w:cs="宋体"/>
                <w:bCs/>
                <w:color w:val="auto"/>
                <w:sz w:val="24"/>
                <w:highlight w:val="none"/>
                <w:lang w:val="en-US" w:eastAsia="zh-CN"/>
              </w:rPr>
              <w:t>另外，CBCT工作时会产生较低能量的X射线，对周围环境会产生辐射影响，但相对于加速器本身来说，这种影响远远低于加速器运行的辐射影响。</w:t>
            </w:r>
          </w:p>
          <w:p>
            <w:pPr>
              <w:spacing w:line="360" w:lineRule="auto"/>
              <w:ind w:firstLine="480" w:firstLineChars="200"/>
              <w:rPr>
                <w:rFonts w:hint="eastAsia" w:ascii="宋体" w:hAnsi="宋体" w:eastAsia="宋体" w:cs="宋体"/>
                <w:bCs/>
                <w:color w:val="auto"/>
                <w:sz w:val="24"/>
                <w:highlight w:val="none"/>
              </w:rPr>
            </w:pPr>
            <w:r>
              <w:rPr>
                <w:rFonts w:hint="eastAsia" w:ascii="宋体" w:hAnsi="宋体" w:eastAsia="宋体" w:cs="宋体"/>
                <w:bCs/>
                <w:color w:val="auto"/>
                <w:sz w:val="24"/>
                <w:highlight w:val="none"/>
              </w:rPr>
              <w:t>2、感生放射性</w:t>
            </w:r>
          </w:p>
          <w:p>
            <w:pPr>
              <w:spacing w:line="360" w:lineRule="auto"/>
              <w:ind w:firstLine="480" w:firstLineChars="200"/>
              <w:rPr>
                <w:rFonts w:hint="eastAsia" w:ascii="宋体" w:hAnsi="宋体" w:eastAsia="宋体" w:cs="宋体"/>
                <w:bCs/>
                <w:color w:val="auto"/>
                <w:sz w:val="24"/>
                <w:highlight w:val="none"/>
              </w:rPr>
            </w:pPr>
            <w:r>
              <w:rPr>
                <w:rFonts w:hint="eastAsia" w:ascii="宋体" w:hAnsi="宋体" w:eastAsia="宋体" w:cs="宋体"/>
                <w:bCs/>
                <w:color w:val="auto"/>
                <w:sz w:val="24"/>
                <w:highlight w:val="none"/>
              </w:rPr>
              <w:t>当治疗过程中用的X射线的能量超过（γ，n）反应的阈能量时，中子活化作用使加速器机房空气中产生</w:t>
            </w:r>
            <w:r>
              <w:rPr>
                <w:rFonts w:hint="eastAsia" w:ascii="宋体" w:hAnsi="宋体" w:eastAsia="宋体" w:cs="宋体"/>
                <w:bCs/>
                <w:color w:val="auto"/>
                <w:sz w:val="24"/>
                <w:highlight w:val="none"/>
                <w:vertAlign w:val="superscript"/>
              </w:rPr>
              <w:t>11</w:t>
            </w:r>
            <w:r>
              <w:rPr>
                <w:rFonts w:hint="eastAsia" w:ascii="宋体" w:hAnsi="宋体" w:eastAsia="宋体" w:cs="宋体"/>
                <w:bCs/>
                <w:color w:val="auto"/>
                <w:sz w:val="24"/>
                <w:highlight w:val="none"/>
              </w:rPr>
              <w:t>C、</w:t>
            </w:r>
            <w:r>
              <w:rPr>
                <w:rFonts w:hint="eastAsia" w:ascii="宋体" w:hAnsi="宋体" w:eastAsia="宋体" w:cs="宋体"/>
                <w:bCs/>
                <w:color w:val="auto"/>
                <w:sz w:val="24"/>
                <w:highlight w:val="none"/>
                <w:vertAlign w:val="superscript"/>
              </w:rPr>
              <w:t>13</w:t>
            </w:r>
            <w:r>
              <w:rPr>
                <w:rFonts w:hint="eastAsia" w:ascii="宋体" w:hAnsi="宋体" w:eastAsia="宋体" w:cs="宋体"/>
                <w:bCs/>
                <w:color w:val="auto"/>
                <w:sz w:val="24"/>
                <w:highlight w:val="none"/>
              </w:rPr>
              <w:t>N、</w:t>
            </w:r>
            <w:r>
              <w:rPr>
                <w:rFonts w:hint="eastAsia" w:ascii="宋体" w:hAnsi="宋体" w:eastAsia="宋体" w:cs="宋体"/>
                <w:bCs/>
                <w:color w:val="auto"/>
                <w:sz w:val="24"/>
                <w:highlight w:val="none"/>
                <w:vertAlign w:val="superscript"/>
              </w:rPr>
              <w:t>15</w:t>
            </w:r>
            <w:r>
              <w:rPr>
                <w:rFonts w:hint="eastAsia" w:ascii="宋体" w:hAnsi="宋体" w:eastAsia="宋体" w:cs="宋体"/>
                <w:bCs/>
                <w:color w:val="auto"/>
                <w:sz w:val="24"/>
                <w:highlight w:val="none"/>
              </w:rPr>
              <w:t>O等放射性气体。其衰变过程中产生正电子，即β+射线，β+射线在空气中的射程只有几米。放射性气体产额很低，半衰期较短，通过合理的通风系统可使其浓度降低。</w:t>
            </w:r>
          </w:p>
          <w:p>
            <w:pPr>
              <w:spacing w:line="360" w:lineRule="auto"/>
              <w:ind w:firstLine="480" w:firstLineChars="200"/>
              <w:rPr>
                <w:rFonts w:hint="eastAsia" w:ascii="宋体" w:hAnsi="宋体" w:eastAsia="宋体" w:cs="宋体"/>
                <w:bCs/>
                <w:color w:val="auto"/>
                <w:sz w:val="24"/>
                <w:highlight w:val="none"/>
                <w:lang w:val="en-US" w:eastAsia="zh-CN"/>
              </w:rPr>
            </w:pPr>
            <w:r>
              <w:rPr>
                <w:rFonts w:hint="eastAsia" w:ascii="宋体" w:hAnsi="宋体" w:eastAsia="宋体" w:cs="宋体"/>
                <w:bCs/>
                <w:color w:val="auto"/>
                <w:sz w:val="24"/>
                <w:highlight w:val="none"/>
              </w:rPr>
              <w:t>靶物质经长期照射后，也可积累一定数量的感生放射性核素，因此，退役的靶作为放射性废物。</w:t>
            </w:r>
          </w:p>
          <w:p>
            <w:pPr>
              <w:spacing w:line="360" w:lineRule="auto"/>
              <w:ind w:left="0" w:firstLine="480" w:firstLineChars="200"/>
              <w:rPr>
                <w:rFonts w:hint="eastAsia" w:ascii="宋体" w:hAnsi="宋体" w:eastAsia="宋体" w:cs="宋体"/>
                <w:bCs/>
                <w:color w:val="auto"/>
                <w:sz w:val="24"/>
                <w:highlight w:val="none"/>
              </w:rPr>
            </w:pPr>
            <w:r>
              <w:rPr>
                <w:rFonts w:hint="eastAsia" w:ascii="宋体" w:hAnsi="宋体" w:eastAsia="宋体" w:cs="宋体"/>
                <w:bCs/>
                <w:color w:val="auto"/>
                <w:sz w:val="24"/>
                <w:highlight w:val="none"/>
                <w:lang w:val="en-US" w:eastAsia="zh-CN"/>
              </w:rPr>
              <w:t>3</w:t>
            </w:r>
            <w:r>
              <w:rPr>
                <w:rFonts w:hint="eastAsia" w:ascii="宋体" w:hAnsi="宋体" w:eastAsia="宋体" w:cs="宋体"/>
                <w:bCs/>
                <w:color w:val="auto"/>
                <w:sz w:val="24"/>
                <w:highlight w:val="none"/>
              </w:rPr>
              <w:t>、非放射性有害气体</w:t>
            </w:r>
          </w:p>
          <w:p>
            <w:pPr>
              <w:spacing w:line="360" w:lineRule="auto"/>
              <w:ind w:left="0" w:firstLine="480" w:firstLineChars="200"/>
              <w:rPr>
                <w:rFonts w:hint="eastAsia" w:ascii="宋体" w:hAnsi="宋体" w:eastAsia="宋体" w:cs="宋体"/>
                <w:bCs/>
                <w:color w:val="auto"/>
                <w:sz w:val="24"/>
                <w:highlight w:val="none"/>
                <w:lang w:eastAsia="zh-CN"/>
              </w:rPr>
            </w:pPr>
            <w:r>
              <w:rPr>
                <w:rFonts w:hint="eastAsia" w:ascii="宋体" w:hAnsi="宋体" w:eastAsia="宋体" w:cs="宋体"/>
                <w:bCs/>
                <w:color w:val="auto"/>
                <w:sz w:val="24"/>
                <w:highlight w:val="none"/>
              </w:rPr>
              <w:t>加速器在开机运行时，产生的X射线与空气作用可产生少量臭氧（O</w:t>
            </w:r>
            <w:r>
              <w:rPr>
                <w:rFonts w:hint="eastAsia" w:ascii="宋体" w:hAnsi="宋体" w:eastAsia="宋体" w:cs="宋体"/>
                <w:bCs/>
                <w:color w:val="auto"/>
                <w:sz w:val="24"/>
                <w:highlight w:val="none"/>
                <w:vertAlign w:val="subscript"/>
              </w:rPr>
              <w:t>3</w:t>
            </w:r>
            <w:r>
              <w:rPr>
                <w:rFonts w:hint="eastAsia" w:ascii="宋体" w:hAnsi="宋体" w:eastAsia="宋体" w:cs="宋体"/>
                <w:bCs/>
                <w:color w:val="auto"/>
                <w:sz w:val="24"/>
                <w:highlight w:val="none"/>
              </w:rPr>
              <w:t>）和氮氧化物（NO</w:t>
            </w:r>
            <w:r>
              <w:rPr>
                <w:rFonts w:hint="eastAsia" w:ascii="宋体" w:hAnsi="宋体" w:eastAsia="宋体" w:cs="宋体"/>
                <w:bCs/>
                <w:color w:val="auto"/>
                <w:sz w:val="24"/>
                <w:highlight w:val="none"/>
                <w:vertAlign w:val="subscript"/>
              </w:rPr>
              <w:t>X</w:t>
            </w:r>
            <w:r>
              <w:rPr>
                <w:rFonts w:hint="eastAsia" w:ascii="宋体" w:hAnsi="宋体" w:eastAsia="宋体" w:cs="宋体"/>
                <w:bCs/>
                <w:color w:val="auto"/>
                <w:sz w:val="24"/>
                <w:highlight w:val="none"/>
              </w:rPr>
              <w:t>）。机房设有通风系统，通风次数大于4次/h，可明显降低其浓度</w:t>
            </w:r>
            <w:r>
              <w:rPr>
                <w:rFonts w:hint="eastAsia" w:ascii="宋体" w:hAnsi="宋体" w:eastAsia="宋体" w:cs="宋体"/>
                <w:bCs/>
                <w:color w:val="auto"/>
                <w:sz w:val="24"/>
                <w:highlight w:val="none"/>
                <w:lang w:eastAsia="zh-CN"/>
              </w:rPr>
              <w:t>。</w:t>
            </w:r>
            <w:r>
              <w:rPr>
                <w:rFonts w:hint="eastAsia" w:ascii="宋体" w:hAnsi="宋体" w:eastAsia="宋体" w:cs="宋体"/>
                <w:bCs/>
                <w:color w:val="auto"/>
                <w:sz w:val="24"/>
                <w:highlight w:val="none"/>
              </w:rPr>
              <w:t>臭氧（O</w:t>
            </w:r>
            <w:r>
              <w:rPr>
                <w:rFonts w:hint="eastAsia" w:ascii="宋体" w:hAnsi="宋体" w:eastAsia="宋体" w:cs="宋体"/>
                <w:bCs/>
                <w:color w:val="auto"/>
                <w:sz w:val="24"/>
                <w:highlight w:val="none"/>
                <w:vertAlign w:val="subscript"/>
              </w:rPr>
              <w:t>3</w:t>
            </w:r>
            <w:r>
              <w:rPr>
                <w:rFonts w:hint="eastAsia" w:ascii="宋体" w:hAnsi="宋体" w:eastAsia="宋体" w:cs="宋体"/>
                <w:bCs/>
                <w:color w:val="auto"/>
                <w:sz w:val="24"/>
                <w:highlight w:val="none"/>
              </w:rPr>
              <w:t>）和氮氧化物（NO</w:t>
            </w:r>
            <w:r>
              <w:rPr>
                <w:rFonts w:hint="eastAsia" w:ascii="宋体" w:hAnsi="宋体" w:eastAsia="宋体" w:cs="宋体"/>
                <w:bCs/>
                <w:color w:val="auto"/>
                <w:sz w:val="24"/>
                <w:highlight w:val="none"/>
                <w:vertAlign w:val="subscript"/>
              </w:rPr>
              <w:t>X</w:t>
            </w:r>
            <w:r>
              <w:rPr>
                <w:rFonts w:hint="eastAsia" w:ascii="宋体" w:hAnsi="宋体" w:eastAsia="宋体" w:cs="宋体"/>
                <w:bCs/>
                <w:color w:val="auto"/>
                <w:sz w:val="24"/>
                <w:highlight w:val="none"/>
              </w:rPr>
              <w:t>）</w:t>
            </w:r>
            <w:r>
              <w:rPr>
                <w:rFonts w:hint="eastAsia" w:ascii="宋体" w:hAnsi="宋体" w:eastAsia="宋体" w:cs="宋体"/>
                <w:bCs/>
                <w:color w:val="auto"/>
                <w:sz w:val="24"/>
                <w:highlight w:val="none"/>
                <w:lang w:eastAsia="zh-CN"/>
              </w:rPr>
              <w:t>产生量很少，通过通风系统排入外环境，排风口属于无组织排放，排风口高于机房所在建筑顶部，本项目臭氧和氮氧化物排放量较少，对</w:t>
            </w:r>
            <w:r>
              <w:rPr>
                <w:rFonts w:hint="eastAsia" w:ascii="宋体" w:hAnsi="宋体" w:eastAsia="宋体" w:cs="宋体"/>
                <w:bCs/>
                <w:color w:val="auto"/>
                <w:sz w:val="24"/>
                <w:highlight w:val="none"/>
                <w:lang w:val="en-US" w:eastAsia="zh-CN"/>
              </w:rPr>
              <w:t>空气</w:t>
            </w:r>
            <w:r>
              <w:rPr>
                <w:rFonts w:hint="eastAsia" w:ascii="宋体" w:hAnsi="宋体" w:eastAsia="宋体" w:cs="宋体"/>
                <w:bCs/>
                <w:color w:val="auto"/>
                <w:sz w:val="24"/>
                <w:highlight w:val="none"/>
                <w:lang w:eastAsia="zh-CN"/>
              </w:rPr>
              <w:t>环境影响相</w:t>
            </w:r>
            <w:r>
              <w:rPr>
                <w:rFonts w:hint="eastAsia" w:ascii="宋体" w:hAnsi="宋体" w:eastAsia="宋体" w:cs="宋体"/>
                <w:bCs/>
                <w:color w:val="auto"/>
                <w:sz w:val="24"/>
                <w:highlight w:val="none"/>
                <w:lang w:val="en-US" w:eastAsia="zh-CN"/>
              </w:rPr>
              <w:t>对</w:t>
            </w:r>
            <w:r>
              <w:rPr>
                <w:rFonts w:hint="eastAsia" w:ascii="宋体" w:hAnsi="宋体" w:eastAsia="宋体" w:cs="宋体"/>
                <w:bCs/>
                <w:color w:val="auto"/>
                <w:sz w:val="24"/>
                <w:highlight w:val="none"/>
                <w:lang w:eastAsia="zh-CN"/>
              </w:rPr>
              <w:t>较小，对周边的环境影响可接受。</w:t>
            </w:r>
          </w:p>
          <w:p>
            <w:pPr>
              <w:spacing w:line="360" w:lineRule="auto"/>
              <w:ind w:left="0" w:firstLine="480" w:firstLineChars="200"/>
              <w:rPr>
                <w:rFonts w:hint="eastAsia" w:ascii="宋体" w:hAnsi="宋体" w:eastAsia="宋体" w:cs="宋体"/>
                <w:bCs/>
                <w:color w:val="auto"/>
                <w:sz w:val="24"/>
                <w:highlight w:val="none"/>
              </w:rPr>
            </w:pPr>
            <w:r>
              <w:rPr>
                <w:rFonts w:hint="eastAsia" w:ascii="宋体" w:hAnsi="宋体" w:eastAsia="宋体" w:cs="宋体"/>
                <w:bCs/>
                <w:color w:val="auto"/>
                <w:sz w:val="24"/>
                <w:highlight w:val="none"/>
                <w:lang w:val="en-US" w:eastAsia="zh-CN"/>
              </w:rPr>
              <w:t>4</w:t>
            </w:r>
            <w:r>
              <w:rPr>
                <w:rFonts w:hint="eastAsia" w:ascii="宋体" w:hAnsi="宋体" w:eastAsia="宋体" w:cs="宋体"/>
                <w:bCs/>
                <w:color w:val="auto"/>
                <w:sz w:val="24"/>
                <w:highlight w:val="none"/>
              </w:rPr>
              <w:t>、放射性废物</w:t>
            </w:r>
          </w:p>
          <w:p>
            <w:pPr>
              <w:spacing w:line="360" w:lineRule="auto"/>
              <w:ind w:left="0" w:firstLine="480" w:firstLineChars="200"/>
              <w:rPr>
                <w:rFonts w:hint="eastAsia" w:ascii="宋体" w:hAnsi="宋体" w:eastAsia="宋体" w:cs="宋体"/>
                <w:bCs/>
                <w:color w:val="auto"/>
                <w:sz w:val="24"/>
                <w:highlight w:val="none"/>
              </w:rPr>
            </w:pPr>
            <w:r>
              <w:rPr>
                <w:rFonts w:hint="eastAsia" w:ascii="宋体" w:hAnsi="宋体" w:eastAsia="宋体" w:cs="宋体"/>
                <w:bCs/>
                <w:color w:val="auto"/>
                <w:sz w:val="24"/>
                <w:highlight w:val="none"/>
              </w:rPr>
              <w:t>医用直线加速器所产生的放射性废物，主要来源于加速器使用一定年限或退役时产生的废靶件，含有一定的放射性，它不但有短半衰期放射性核素，还有长半衰期的核素，因而应妥善处理。</w:t>
            </w:r>
          </w:p>
          <w:p>
            <w:pPr>
              <w:pStyle w:val="25"/>
              <w:numPr>
                <w:ilvl w:val="0"/>
                <w:numId w:val="0"/>
              </w:numPr>
              <w:spacing w:line="360" w:lineRule="auto"/>
              <w:ind w:left="0" w:leftChars="0" w:firstLine="480" w:firstLineChars="200"/>
              <w:rPr>
                <w:rFonts w:hint="eastAsia" w:ascii="宋体" w:hAnsi="宋体" w:eastAsia="宋体" w:cs="宋体"/>
                <w:bCs/>
                <w:color w:val="auto"/>
                <w:kern w:val="2"/>
                <w:sz w:val="24"/>
                <w:szCs w:val="24"/>
                <w:highlight w:val="none"/>
                <w:lang w:val="en-US" w:eastAsia="zh-CN" w:bidi="ar-SA"/>
              </w:rPr>
            </w:pPr>
            <w:r>
              <w:rPr>
                <w:rFonts w:hint="eastAsia" w:ascii="宋体" w:hAnsi="宋体" w:eastAsia="宋体" w:cs="宋体"/>
                <w:bCs/>
                <w:color w:val="auto"/>
                <w:kern w:val="2"/>
                <w:sz w:val="24"/>
                <w:szCs w:val="24"/>
                <w:highlight w:val="none"/>
                <w:lang w:val="en-US" w:eastAsia="zh-CN" w:bidi="ar-SA"/>
              </w:rPr>
              <w:t>5、废水</w:t>
            </w:r>
          </w:p>
          <w:p>
            <w:pPr>
              <w:pStyle w:val="25"/>
              <w:numPr>
                <w:ilvl w:val="0"/>
                <w:numId w:val="0"/>
              </w:numPr>
              <w:spacing w:line="360" w:lineRule="auto"/>
              <w:ind w:left="0" w:firstLine="480" w:firstLineChars="200"/>
              <w:rPr>
                <w:rFonts w:hint="eastAsia" w:ascii="宋体" w:hAnsi="宋体" w:eastAsia="宋体" w:cs="宋体"/>
                <w:bCs/>
                <w:color w:val="auto"/>
                <w:kern w:val="2"/>
                <w:sz w:val="24"/>
                <w:szCs w:val="24"/>
                <w:highlight w:val="none"/>
                <w:lang w:val="en-US" w:eastAsia="zh-CN" w:bidi="ar-SA"/>
              </w:rPr>
            </w:pPr>
            <w:r>
              <w:rPr>
                <w:rFonts w:hint="eastAsia" w:ascii="宋体" w:hAnsi="宋体" w:eastAsia="宋体" w:cs="宋体"/>
                <w:bCs/>
                <w:color w:val="auto"/>
                <w:kern w:val="2"/>
                <w:sz w:val="24"/>
                <w:szCs w:val="24"/>
                <w:highlight w:val="none"/>
                <w:lang w:val="en-US" w:eastAsia="zh-CN" w:bidi="ar-SA"/>
              </w:rPr>
              <w:t>本项目加速器使用的冷却水均为蒸馏水，一次循环、二次循环用水不外排，在使用过程中会有少量蒸发损失，及时补充。本项目无外排废水，因此不产生含有放射性的废液或废水，因此本项目不会对水环境造成影响。</w:t>
            </w:r>
          </w:p>
          <w:p>
            <w:pPr>
              <w:pStyle w:val="25"/>
              <w:numPr>
                <w:ilvl w:val="0"/>
                <w:numId w:val="5"/>
              </w:numPr>
              <w:spacing w:line="360" w:lineRule="auto"/>
              <w:ind w:left="0" w:leftChars="0" w:firstLine="480" w:firstLineChars="200"/>
              <w:rPr>
                <w:rFonts w:hint="eastAsia" w:ascii="宋体" w:hAnsi="宋体" w:eastAsia="宋体" w:cs="宋体"/>
                <w:bCs/>
                <w:color w:val="auto"/>
                <w:kern w:val="2"/>
                <w:sz w:val="24"/>
                <w:szCs w:val="24"/>
                <w:highlight w:val="none"/>
                <w:lang w:val="en-US" w:eastAsia="zh-CN" w:bidi="ar-SA"/>
              </w:rPr>
            </w:pPr>
            <w:r>
              <w:rPr>
                <w:rFonts w:hint="eastAsia" w:ascii="宋体" w:hAnsi="宋体" w:eastAsia="宋体" w:cs="宋体"/>
                <w:bCs/>
                <w:color w:val="auto"/>
                <w:kern w:val="2"/>
                <w:sz w:val="24"/>
                <w:szCs w:val="24"/>
                <w:highlight w:val="none"/>
                <w:lang w:val="en-US" w:eastAsia="zh-CN" w:bidi="ar-SA"/>
              </w:rPr>
              <w:t>噪声</w:t>
            </w:r>
          </w:p>
          <w:p>
            <w:pPr>
              <w:pStyle w:val="25"/>
              <w:numPr>
                <w:ilvl w:val="0"/>
                <w:numId w:val="0"/>
              </w:numPr>
              <w:spacing w:line="360" w:lineRule="auto"/>
              <w:ind w:firstLine="480" w:firstLineChars="200"/>
              <w:rPr>
                <w:rFonts w:hint="eastAsia" w:ascii="宋体" w:hAnsi="宋体" w:eastAsia="宋体" w:cs="宋体"/>
                <w:bCs/>
                <w:color w:val="auto"/>
                <w:kern w:val="2"/>
                <w:sz w:val="24"/>
                <w:szCs w:val="24"/>
                <w:highlight w:val="none"/>
                <w:lang w:val="en-US" w:eastAsia="zh-CN" w:bidi="ar-SA"/>
              </w:rPr>
            </w:pPr>
            <w:r>
              <w:rPr>
                <w:rFonts w:hint="eastAsia" w:ascii="宋体" w:hAnsi="宋体" w:eastAsia="宋体" w:cs="宋体"/>
                <w:bCs/>
                <w:color w:val="auto"/>
                <w:kern w:val="2"/>
                <w:sz w:val="24"/>
                <w:szCs w:val="24"/>
                <w:highlight w:val="none"/>
                <w:lang w:val="en-US" w:eastAsia="zh-CN" w:bidi="ar-SA"/>
              </w:rPr>
              <w:t>本项目运行过程中，循环水泵会产生噪声，源强约为70dB(A)，循环水泵位于设备机房，通过选取低噪设备、房间隔声等措施后，设备机房外噪声值能够满足《工业企业厂界环境噪声排放标准》（GB12348-2008）中2类标准的要求。</w:t>
            </w:r>
          </w:p>
          <w:p>
            <w:pPr>
              <w:spacing w:line="360" w:lineRule="auto"/>
              <w:jc w:val="left"/>
              <w:rPr>
                <w:rFonts w:hint="eastAsia" w:ascii="宋体" w:hAnsi="宋体" w:eastAsia="宋体" w:cs="宋体"/>
                <w:b/>
                <w:color w:val="auto"/>
                <w:spacing w:val="16"/>
                <w:sz w:val="24"/>
                <w:highlight w:val="none"/>
              </w:rPr>
            </w:pPr>
            <w:r>
              <w:rPr>
                <w:rFonts w:hint="eastAsia" w:ascii="宋体" w:hAnsi="宋体" w:eastAsia="宋体" w:cs="宋体"/>
                <w:b/>
                <w:color w:val="auto"/>
                <w:spacing w:val="16"/>
                <w:sz w:val="24"/>
                <w:highlight w:val="none"/>
              </w:rPr>
              <w:t>9.2.3非正常工况的污染途径</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（1）加速器发生故障或人员疏忽，造成剂量设置错误，使受检者或工作人员受到超剂量照射。</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（2）人员误入加速器机房未及时发现受到辐射照射。</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（3）工作人员未按照操作规程进行操作，未及时停止机器运行和关闭防护门，使工作人员及公众人员受到照射。</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（4）患者进出门损坏，未及时维修，公众人员误打开，受到意外照射。</w:t>
            </w:r>
          </w:p>
          <w:p>
            <w:pPr>
              <w:spacing w:line="360" w:lineRule="auto"/>
              <w:ind w:firstLine="480" w:firstLineChars="200"/>
              <w:rPr>
                <w:rFonts w:hint="eastAsia" w:ascii="宋体" w:hAnsi="宋体" w:eastAsia="宋体" w:cs="宋体"/>
                <w:color w:val="auto"/>
                <w:sz w:val="24"/>
                <w:highlight w:val="none"/>
              </w:rPr>
            </w:pPr>
          </w:p>
          <w:p>
            <w:pPr>
              <w:spacing w:line="360" w:lineRule="auto"/>
              <w:rPr>
                <w:rFonts w:hint="eastAsia" w:ascii="宋体" w:hAnsi="宋体" w:eastAsia="宋体" w:cs="宋体"/>
                <w:color w:val="auto"/>
                <w:sz w:val="24"/>
                <w:highlight w:val="none"/>
              </w:rPr>
            </w:pPr>
          </w:p>
        </w:tc>
      </w:tr>
    </w:tbl>
    <w:p>
      <w:pPr>
        <w:ind w:firstLine="420"/>
        <w:rPr>
          <w:rFonts w:hint="eastAsia" w:ascii="宋体" w:hAnsi="宋体" w:eastAsia="宋体" w:cs="宋体"/>
          <w:color w:val="0000FF"/>
          <w:highlight w:val="none"/>
        </w:rPr>
        <w:sectPr>
          <w:pgSz w:w="11906" w:h="16838"/>
          <w:pgMar w:top="1440" w:right="1588" w:bottom="1440" w:left="1588" w:header="851" w:footer="992" w:gutter="0"/>
          <w:pgBorders>
            <w:top w:val="none" w:sz="0" w:space="0"/>
            <w:left w:val="none" w:sz="0" w:space="0"/>
            <w:bottom w:val="none" w:sz="0" w:space="0"/>
            <w:right w:val="none" w:sz="0" w:space="0"/>
          </w:pgBorders>
          <w:cols w:space="425" w:num="1"/>
          <w:docGrid w:type="lines" w:linePitch="312" w:charSpace="0"/>
        </w:sectPr>
      </w:pPr>
    </w:p>
    <w:p>
      <w:pPr>
        <w:spacing w:line="360" w:lineRule="auto"/>
        <w:outlineLvl w:val="0"/>
        <w:rPr>
          <w:rFonts w:hint="eastAsia" w:ascii="宋体" w:hAnsi="宋体" w:eastAsia="宋体" w:cs="宋体"/>
          <w:b/>
          <w:color w:val="auto"/>
          <w:sz w:val="28"/>
          <w:szCs w:val="28"/>
          <w:highlight w:val="none"/>
        </w:rPr>
      </w:pPr>
      <w:bookmarkStart w:id="9" w:name="_Toc15556"/>
      <w:r>
        <w:rPr>
          <w:rFonts w:hint="eastAsia" w:ascii="宋体" w:hAnsi="宋体" w:eastAsia="宋体" w:cs="宋体"/>
          <w:b/>
          <w:color w:val="auto"/>
          <w:sz w:val="28"/>
          <w:szCs w:val="28"/>
          <w:highlight w:val="none"/>
        </w:rPr>
        <w:t>表10 辐射安全与防护</w:t>
      </w:r>
      <w:bookmarkEnd w:id="9"/>
    </w:p>
    <w:tbl>
      <w:tblPr>
        <w:tblStyle w:val="18"/>
        <w:tblW w:w="8522" w:type="dxa"/>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autofit"/>
        <w:tblCellMar>
          <w:top w:w="0" w:type="dxa"/>
          <w:left w:w="108" w:type="dxa"/>
          <w:bottom w:w="0" w:type="dxa"/>
          <w:right w:w="108" w:type="dxa"/>
        </w:tblCellMar>
      </w:tblPr>
      <w:tblGrid>
        <w:gridCol w:w="8946"/>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785" w:hRule="atLeast"/>
        </w:trPr>
        <w:tc>
          <w:tcPr>
            <w:tcW w:w="8522" w:type="dxa"/>
          </w:tcPr>
          <w:p>
            <w:pPr>
              <w:spacing w:line="360" w:lineRule="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10.1项目安全设施</w:t>
            </w:r>
          </w:p>
          <w:p>
            <w:pPr>
              <w:spacing w:line="360" w:lineRule="auto"/>
              <w:ind w:firstLine="601"/>
              <w:rPr>
                <w:rFonts w:hint="eastAsia" w:ascii="宋体" w:hAnsi="宋体" w:eastAsia="宋体" w:cs="宋体"/>
                <w:b/>
                <w:bCs w:val="0"/>
                <w:color w:val="auto"/>
                <w:spacing w:val="16"/>
                <w:kern w:val="0"/>
                <w:sz w:val="24"/>
                <w:highlight w:val="none"/>
                <w:lang w:val="en-US" w:eastAsia="zh-CN"/>
              </w:rPr>
            </w:pPr>
            <w:r>
              <w:rPr>
                <w:rFonts w:hint="eastAsia" w:ascii="宋体" w:hAnsi="宋体" w:eastAsia="宋体" w:cs="宋体"/>
                <w:b/>
                <w:bCs w:val="0"/>
                <w:color w:val="auto"/>
                <w:spacing w:val="16"/>
                <w:kern w:val="0"/>
                <w:sz w:val="24"/>
                <w:highlight w:val="none"/>
                <w:lang w:val="en-US" w:eastAsia="zh-CN"/>
              </w:rPr>
              <w:t>（一）本项目工作场所布局</w:t>
            </w:r>
          </w:p>
          <w:p>
            <w:pPr>
              <w:pStyle w:val="25"/>
              <w:spacing w:line="360" w:lineRule="auto"/>
              <w:ind w:firstLine="480" w:firstLineChars="200"/>
              <w:rPr>
                <w:rFonts w:hint="eastAsia" w:ascii="宋体" w:hAnsi="宋体" w:eastAsia="宋体" w:cs="宋体"/>
                <w:b w:val="0"/>
                <w:bCs/>
                <w:color w:val="0000FF"/>
                <w:highlight w:val="none"/>
                <w:lang w:val="en-US" w:eastAsia="zh-CN"/>
              </w:rPr>
            </w:pPr>
            <w:r>
              <w:rPr>
                <w:rFonts w:hint="eastAsia" w:ascii="宋体" w:hAnsi="宋体" w:eastAsia="宋体" w:cs="宋体"/>
                <w:color w:val="auto"/>
                <w:sz w:val="24"/>
                <w:highlight w:val="none"/>
              </w:rPr>
              <w:t>本项目加速器机房位于</w:t>
            </w:r>
            <w:r>
              <w:rPr>
                <w:rFonts w:hint="eastAsia" w:ascii="宋体" w:hAnsi="宋体" w:eastAsia="宋体" w:cs="宋体"/>
                <w:color w:val="auto"/>
                <w:sz w:val="24"/>
                <w:highlight w:val="none"/>
                <w:lang w:val="en-US" w:eastAsia="zh-CN"/>
              </w:rPr>
              <w:t>双鸭山双矿医院有限公司院内新建直线加速器设备机房内，所在建筑为一层的独立建筑</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本项目直线加速器机房位于该独立建筑的西侧一端，加速器机房东侧为走廊、水冷机房、设备机房和室外，南侧为骨科楼放射治疗室，西侧为室外及院内道路，北侧为室外以及综合楼</w:t>
            </w:r>
            <w:r>
              <w:rPr>
                <w:rFonts w:hint="eastAsia" w:ascii="宋体" w:hAnsi="宋体" w:eastAsia="宋体" w:cs="宋体"/>
                <w:b w:val="0"/>
                <w:bCs/>
                <w:color w:val="auto"/>
                <w:sz w:val="24"/>
                <w:highlight w:val="none"/>
                <w:lang w:eastAsia="zh-CN"/>
              </w:rPr>
              <w:t>。</w:t>
            </w:r>
          </w:p>
          <w:p>
            <w:pPr>
              <w:pStyle w:val="25"/>
              <w:spacing w:line="360" w:lineRule="auto"/>
              <w:ind w:firstLine="482" w:firstLineChars="200"/>
              <w:rPr>
                <w:rFonts w:hint="eastAsia" w:ascii="宋体" w:hAnsi="宋体" w:eastAsia="宋体" w:cs="宋体"/>
                <w:b/>
                <w:bCs w:val="0"/>
                <w:color w:val="auto"/>
                <w:highlight w:val="none"/>
                <w:lang w:val="en-US" w:eastAsia="zh-CN"/>
              </w:rPr>
            </w:pPr>
            <w:r>
              <w:rPr>
                <w:rFonts w:hint="eastAsia" w:ascii="宋体" w:hAnsi="宋体" w:eastAsia="宋体" w:cs="宋体"/>
                <w:b/>
                <w:bCs w:val="0"/>
                <w:color w:val="auto"/>
                <w:highlight w:val="none"/>
                <w:lang w:val="en-US" w:eastAsia="zh-CN"/>
              </w:rPr>
              <w:t>（二）场所分区</w:t>
            </w:r>
          </w:p>
          <w:p>
            <w:pPr>
              <w:spacing w:line="360" w:lineRule="auto"/>
              <w:ind w:firstLine="601"/>
              <w:rPr>
                <w:rFonts w:hint="eastAsia" w:ascii="宋体" w:hAnsi="宋体" w:eastAsia="宋体" w:cs="宋体"/>
                <w:b w:val="0"/>
                <w:bCs/>
                <w:color w:val="auto"/>
                <w:spacing w:val="16"/>
                <w:kern w:val="0"/>
                <w:sz w:val="24"/>
                <w:highlight w:val="none"/>
              </w:rPr>
            </w:pPr>
            <w:r>
              <w:rPr>
                <w:rFonts w:hint="eastAsia" w:ascii="宋体" w:hAnsi="宋体" w:eastAsia="宋体" w:cs="宋体"/>
                <w:b w:val="0"/>
                <w:bCs/>
                <w:color w:val="auto"/>
                <w:spacing w:val="16"/>
                <w:kern w:val="0"/>
                <w:sz w:val="24"/>
                <w:highlight w:val="none"/>
              </w:rPr>
              <w:t>为加强核技术应用医疗设备所在区域的管理，限制无关人员受到不必要的照射，应把辐射工作场所分为控制区和监督区，以便于辐射防护管理和职业照射控制。《电离辐射防护与辐射源安全基本标准》（GB18871-2002）中控制区和监督区的定义如下：</w:t>
            </w:r>
          </w:p>
          <w:p>
            <w:pPr>
              <w:spacing w:line="360" w:lineRule="auto"/>
              <w:ind w:firstLine="601"/>
              <w:rPr>
                <w:rFonts w:hint="eastAsia" w:ascii="宋体" w:hAnsi="宋体" w:eastAsia="宋体" w:cs="宋体"/>
                <w:b w:val="0"/>
                <w:bCs/>
                <w:color w:val="auto"/>
                <w:spacing w:val="16"/>
                <w:kern w:val="0"/>
                <w:sz w:val="24"/>
                <w:highlight w:val="none"/>
              </w:rPr>
            </w:pPr>
            <w:r>
              <w:rPr>
                <w:rFonts w:hint="eastAsia" w:ascii="宋体" w:hAnsi="宋体" w:eastAsia="宋体" w:cs="宋体"/>
                <w:b w:val="0"/>
                <w:bCs/>
                <w:color w:val="auto"/>
                <w:spacing w:val="16"/>
                <w:kern w:val="0"/>
                <w:sz w:val="24"/>
                <w:highlight w:val="none"/>
              </w:rPr>
              <w:t>（1）控制区：需要和可能需要专门防护手段或安全措施的区域，以便控制正常工作条件下的正常照射或防止污染扩散，并预防潜在照射或限制潜在照射的范围；</w:t>
            </w:r>
          </w:p>
          <w:p>
            <w:pPr>
              <w:spacing w:line="360" w:lineRule="auto"/>
              <w:ind w:firstLine="601"/>
              <w:rPr>
                <w:rFonts w:hint="eastAsia" w:ascii="宋体" w:hAnsi="宋体" w:eastAsia="宋体" w:cs="宋体"/>
                <w:b w:val="0"/>
                <w:bCs/>
                <w:color w:val="auto"/>
                <w:spacing w:val="16"/>
                <w:kern w:val="0"/>
                <w:sz w:val="24"/>
                <w:highlight w:val="none"/>
              </w:rPr>
            </w:pPr>
            <w:r>
              <w:rPr>
                <w:rFonts w:hint="eastAsia" w:ascii="宋体" w:hAnsi="宋体" w:eastAsia="宋体" w:cs="宋体"/>
                <w:b w:val="0"/>
                <w:bCs/>
                <w:color w:val="auto"/>
                <w:spacing w:val="16"/>
                <w:kern w:val="0"/>
                <w:sz w:val="24"/>
                <w:highlight w:val="none"/>
              </w:rPr>
              <w:t>（2）监督区：未被定为控制区，在其中通常不需要专门的防护手段或安全措施但需要经常对职业照射条件进行监督和评价的区域。</w:t>
            </w:r>
          </w:p>
          <w:p>
            <w:pPr>
              <w:spacing w:line="360" w:lineRule="auto"/>
              <w:ind w:firstLine="601"/>
              <w:rPr>
                <w:rFonts w:hint="eastAsia" w:ascii="宋体" w:hAnsi="宋体" w:eastAsia="宋体" w:cs="宋体"/>
                <w:color w:val="auto"/>
                <w:spacing w:val="16"/>
                <w:kern w:val="0"/>
                <w:sz w:val="24"/>
                <w:highlight w:val="none"/>
              </w:rPr>
            </w:pPr>
            <w:r>
              <w:rPr>
                <w:rFonts w:hint="eastAsia" w:ascii="宋体" w:hAnsi="宋体" w:eastAsia="宋体" w:cs="宋体"/>
                <w:b w:val="0"/>
                <w:bCs/>
                <w:color w:val="auto"/>
                <w:spacing w:val="16"/>
                <w:kern w:val="0"/>
                <w:sz w:val="24"/>
                <w:highlight w:val="none"/>
              </w:rPr>
              <w:t>结合上述定义与现场实际，</w:t>
            </w:r>
            <w:r>
              <w:rPr>
                <w:rFonts w:hint="eastAsia" w:ascii="宋体" w:hAnsi="宋体" w:eastAsia="宋体" w:cs="宋体"/>
                <w:b w:val="0"/>
                <w:bCs/>
                <w:color w:val="auto"/>
                <w:spacing w:val="16"/>
                <w:kern w:val="0"/>
                <w:sz w:val="24"/>
                <w:highlight w:val="none"/>
                <w:lang w:val="en-US" w:eastAsia="zh-CN"/>
              </w:rPr>
              <w:t>将本项目直线加速器工作场所进行分区，</w:t>
            </w:r>
            <w:r>
              <w:rPr>
                <w:rFonts w:hint="eastAsia" w:ascii="宋体" w:hAnsi="宋体" w:eastAsia="宋体" w:cs="宋体"/>
                <w:b w:val="0"/>
                <w:bCs/>
                <w:color w:val="auto"/>
                <w:spacing w:val="16"/>
                <w:kern w:val="0"/>
                <w:sz w:val="24"/>
                <w:highlight w:val="none"/>
              </w:rPr>
              <w:t>本项目控制区</w:t>
            </w:r>
            <w:r>
              <w:rPr>
                <w:rFonts w:hint="eastAsia" w:ascii="宋体" w:hAnsi="宋体" w:eastAsia="宋体" w:cs="宋体"/>
                <w:color w:val="auto"/>
                <w:spacing w:val="16"/>
                <w:kern w:val="0"/>
                <w:sz w:val="24"/>
                <w:highlight w:val="none"/>
              </w:rPr>
              <w:t>和监督区划分见表10-1，分区图见图10-1。</w:t>
            </w:r>
          </w:p>
          <w:p>
            <w:pPr>
              <w:spacing w:line="240" w:lineRule="auto"/>
              <w:jc w:val="center"/>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表10-1 工作场所分区表</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83"/>
              <w:gridCol w:w="2002"/>
              <w:gridCol w:w="2201"/>
              <w:gridCol w:w="384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391" w:type="pct"/>
                  <w:vAlign w:val="center"/>
                </w:tcPr>
                <w:p>
                  <w:pPr>
                    <w:spacing w:line="240" w:lineRule="auto"/>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序号</w:t>
                  </w:r>
                </w:p>
              </w:tc>
              <w:tc>
                <w:tcPr>
                  <w:tcW w:w="1146" w:type="pct"/>
                  <w:vAlign w:val="center"/>
                </w:tcPr>
                <w:p>
                  <w:pPr>
                    <w:spacing w:line="240" w:lineRule="auto"/>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场所名称</w:t>
                  </w:r>
                </w:p>
              </w:tc>
              <w:tc>
                <w:tcPr>
                  <w:tcW w:w="1260" w:type="pct"/>
                  <w:vAlign w:val="center"/>
                </w:tcPr>
                <w:p>
                  <w:pPr>
                    <w:spacing w:line="240" w:lineRule="auto"/>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控制区</w:t>
                  </w:r>
                </w:p>
              </w:tc>
              <w:tc>
                <w:tcPr>
                  <w:tcW w:w="2201" w:type="pct"/>
                  <w:vAlign w:val="center"/>
                </w:tcPr>
                <w:p>
                  <w:pPr>
                    <w:spacing w:line="240" w:lineRule="auto"/>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监督区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391" w:type="pct"/>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w:t>
                  </w:r>
                </w:p>
              </w:tc>
              <w:tc>
                <w:tcPr>
                  <w:tcW w:w="1146" w:type="pct"/>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加速器</w:t>
                  </w:r>
                  <w:r>
                    <w:rPr>
                      <w:rFonts w:hint="eastAsia" w:ascii="宋体" w:hAnsi="宋体" w:eastAsia="宋体" w:cs="宋体"/>
                      <w:color w:val="auto"/>
                      <w:sz w:val="21"/>
                      <w:szCs w:val="21"/>
                      <w:highlight w:val="none"/>
                      <w:lang w:val="en-US" w:eastAsia="zh-CN"/>
                    </w:rPr>
                    <w:t>工作场所</w:t>
                  </w:r>
                </w:p>
              </w:tc>
              <w:tc>
                <w:tcPr>
                  <w:tcW w:w="1260" w:type="pct"/>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加速器机房</w:t>
                  </w:r>
                  <w:r>
                    <w:rPr>
                      <w:rFonts w:hint="eastAsia" w:ascii="宋体" w:hAnsi="宋体" w:eastAsia="宋体" w:cs="宋体"/>
                      <w:color w:val="auto"/>
                      <w:sz w:val="21"/>
                      <w:szCs w:val="21"/>
                      <w:highlight w:val="none"/>
                      <w:lang w:val="en-US" w:eastAsia="zh-CN"/>
                    </w:rPr>
                    <w:t>及其迷路</w:t>
                  </w:r>
                </w:p>
              </w:tc>
              <w:tc>
                <w:tcPr>
                  <w:tcW w:w="2201" w:type="pct"/>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走廊、水冷机房、设备机房、各个方向屏蔽墙外2m区域</w:t>
                  </w:r>
                </w:p>
              </w:tc>
            </w:tr>
          </w:tbl>
          <w:p>
            <w:pPr>
              <w:spacing w:line="360" w:lineRule="auto"/>
              <w:jc w:val="center"/>
              <w:rPr>
                <w:rFonts w:hint="eastAsia" w:ascii="宋体" w:hAnsi="宋体" w:eastAsia="宋体" w:cs="宋体"/>
              </w:rPr>
            </w:pPr>
          </w:p>
          <w:p>
            <w:pPr>
              <w:spacing w:line="360" w:lineRule="auto"/>
              <w:jc w:val="center"/>
              <w:rPr>
                <w:rFonts w:hint="eastAsia" w:ascii="宋体" w:hAnsi="宋体" w:eastAsia="宋体" w:cs="宋体"/>
              </w:rPr>
            </w:pPr>
          </w:p>
          <w:p>
            <w:pPr>
              <w:spacing w:line="360" w:lineRule="auto"/>
              <w:jc w:val="center"/>
              <w:rPr>
                <w:rFonts w:hint="eastAsia" w:ascii="宋体" w:hAnsi="宋体" w:eastAsia="宋体" w:cs="宋体"/>
              </w:rPr>
            </w:pPr>
          </w:p>
          <w:p>
            <w:pPr>
              <w:spacing w:line="360" w:lineRule="auto"/>
              <w:jc w:val="center"/>
              <w:rPr>
                <w:rFonts w:hint="eastAsia" w:ascii="宋体" w:hAnsi="宋体" w:eastAsia="宋体" w:cs="宋体"/>
              </w:rPr>
            </w:pPr>
          </w:p>
          <w:p>
            <w:pPr>
              <w:spacing w:line="360" w:lineRule="auto"/>
              <w:jc w:val="center"/>
              <w:rPr>
                <w:rFonts w:hint="eastAsia" w:ascii="宋体" w:hAnsi="宋体" w:eastAsia="宋体" w:cs="宋体"/>
              </w:rPr>
            </w:pPr>
          </w:p>
          <w:p>
            <w:pPr>
              <w:spacing w:line="360" w:lineRule="auto"/>
              <w:jc w:val="center"/>
              <w:rPr>
                <w:rFonts w:hint="eastAsia" w:ascii="宋体" w:hAnsi="宋体" w:eastAsia="宋体" w:cs="宋体"/>
              </w:rPr>
            </w:pPr>
          </w:p>
          <w:p>
            <w:pPr>
              <w:spacing w:line="360" w:lineRule="auto"/>
              <w:jc w:val="center"/>
              <w:rPr>
                <w:rFonts w:hint="eastAsia" w:ascii="宋体" w:hAnsi="宋体" w:eastAsia="宋体" w:cs="宋体"/>
              </w:rPr>
            </w:pPr>
          </w:p>
          <w:p>
            <w:pPr>
              <w:spacing w:line="360" w:lineRule="auto"/>
              <w:jc w:val="center"/>
              <w:rPr>
                <w:rFonts w:hint="eastAsia" w:ascii="宋体" w:hAnsi="宋体" w:eastAsia="宋体" w:cs="宋体"/>
              </w:rPr>
            </w:pPr>
            <w:r>
              <w:rPr>
                <w:rFonts w:hint="eastAsia" w:ascii="宋体" w:hAnsi="宋体" w:eastAsia="宋体" w:cs="宋体"/>
                <w:b/>
                <w:color w:val="0000FF"/>
                <w:sz w:val="24"/>
                <w:highlight w:val="none"/>
              </w:rPr>
              <mc:AlternateContent>
                <mc:Choice Requires="wps">
                  <w:drawing>
                    <wp:anchor distT="0" distB="0" distL="114300" distR="114300" simplePos="0" relativeHeight="251679744" behindDoc="0" locked="0" layoutInCell="1" allowOverlap="1">
                      <wp:simplePos x="0" y="0"/>
                      <wp:positionH relativeFrom="column">
                        <wp:posOffset>172720</wp:posOffset>
                      </wp:positionH>
                      <wp:positionV relativeFrom="paragraph">
                        <wp:posOffset>154305</wp:posOffset>
                      </wp:positionV>
                      <wp:extent cx="3124200" cy="273685"/>
                      <wp:effectExtent l="0" t="0" r="0" b="635"/>
                      <wp:wrapNone/>
                      <wp:docPr id="100" name="矩形 146"/>
                      <wp:cNvGraphicFramePr/>
                      <a:graphic xmlns:a="http://schemas.openxmlformats.org/drawingml/2006/main">
                        <a:graphicData uri="http://schemas.microsoft.com/office/word/2010/wordprocessingShape">
                          <wps:wsp>
                            <wps:cNvSpPr/>
                            <wps:spPr>
                              <a:xfrm>
                                <a:off x="0" y="0"/>
                                <a:ext cx="3124200" cy="273685"/>
                              </a:xfrm>
                              <a:prstGeom prst="rect">
                                <a:avLst/>
                              </a:prstGeom>
                              <a:solidFill>
                                <a:srgbClr val="FFFF00">
                                  <a:alpha val="50000"/>
                                </a:srgbClr>
                              </a:solidFill>
                              <a:ln>
                                <a:noFill/>
                              </a:ln>
                            </wps:spPr>
                            <wps:txbx>
                              <w:txbxContent>
                                <w:p>
                                  <w:pPr>
                                    <w:jc w:val="center"/>
                                  </w:pPr>
                                </w:p>
                              </w:txbxContent>
                            </wps:txbx>
                            <wps:bodyPr upright="1"/>
                          </wps:wsp>
                        </a:graphicData>
                      </a:graphic>
                    </wp:anchor>
                  </w:drawing>
                </mc:Choice>
                <mc:Fallback>
                  <w:pict>
                    <v:rect id="矩形 146" o:spid="_x0000_s1026" o:spt="1" style="position:absolute;left:0pt;margin-left:13.6pt;margin-top:12.15pt;height:21.55pt;width:246pt;z-index:251679744;mso-width-relative:page;mso-height-relative:page;" fillcolor="#FFFF00" filled="t" stroked="f" coordsize="21600,21600" o:gfxdata="UEsDBAoAAAAAAIdO4kAAAAAAAAAAAAAAAAAEAAAAZHJzL1BLAwQUAAAACACHTuJASulaSNUAAAAI&#10;AQAADwAAAGRycy9kb3ducmV2LnhtbE2PTU7DQAyF90jcYWQkNohO/mhpyKQLEAeg7QHcjElS5idk&#10;Jknh9JgVrCz7PT1/r9pdrBEzjaH3TkG6SkCQa7zuXavgeHi9fwQRIjqNxjtS8EUBdvX1VYWl9ot7&#10;o3kfW8EhLpSooItxKKUMTUcWw8oP5Fh796PFyOvYSj3iwuHWyCxJ1tJi7/hDhwM9d9R87Cer4C4U&#10;L8akVCwGp2LOj+fcfn4rdXuTJk8gIl3inxl+8RkdamY6+cnpIIyCbJOxk2eRg2D9Id3y4aRgvSlA&#10;1pX8X6D+AVBLAwQUAAAACACHTuJAZ3mfDMgBAACPAwAADgAAAGRycy9lMm9Eb2MueG1srVPNjtMw&#10;EL4j8Q6W7zRpd7esoqZ7oCoXBCst+wCu4ySW/KcZt0mfBokbD8HjIF6DsRO6sFz2gA/OzHj8zXzf&#10;OJu70Rp2UoDau5ovFyVnyknfaNfV/PHz/s0tZxiFa4TxTtX8rJDfbV+/2gyhUivfe9MoYATisBpC&#10;zfsYQ1UUKHtlBS58UI4OWw9WRHKhKxoQA6FbU6zKcl0MHpoAXipEiu6mQz4jwksAfdtqqXZeHq1y&#10;cUIFZUQkStjrgHybu21bJeOntkUVmak5MY15pyJkH9JebDei6kCEXsu5BfGSFp5xskI7KnqB2oko&#10;2BH0P1BWS/Do27iQ3hYTkawIsViWz7R56EVQmQtJjeEiOv4/WPnxdA9MN/QSStLECUsj//nl24/v&#10;X9nyep30GQJWlPYQ7mH2kMxEdmzBpi/RYGPW9HzRVI2RSQpeLVfXNHbOJJ2t3l6tb28SaPF0OwDG&#10;98pbloyaA80sSylOHzBOqb9TUjH0Rjd7bUx2oDu8M8BOgua7p0WVUlyY0IspelPSmkvilJ7L/4Vj&#10;XLrlfMKdSqZIkahPZJMVx8M4K3DwzZl0OwbQXU9NL3OBlERzyvDzm0oP4U8/gz79R9t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SulaSNUAAAAIAQAADwAAAAAAAAABACAAAAAiAAAAZHJzL2Rvd25y&#10;ZXYueG1sUEsBAhQAFAAAAAgAh07iQGd5nwzIAQAAjwMAAA4AAAAAAAAAAQAgAAAAJAEAAGRycy9l&#10;Mm9Eb2MueG1sUEsFBgAAAAAGAAYAWQEAAF4FAAAAAA==&#10;">
                      <v:fill on="t" opacity="32768f" focussize="0,0"/>
                      <v:stroke on="f"/>
                      <v:imagedata o:title=""/>
                      <o:lock v:ext="edit" aspectratio="f"/>
                      <v:textbox>
                        <w:txbxContent>
                          <w:p>
                            <w:pPr>
                              <w:jc w:val="center"/>
                            </w:pPr>
                          </w:p>
                        </w:txbxContent>
                      </v:textbox>
                    </v:rect>
                  </w:pict>
                </mc:Fallback>
              </mc:AlternateContent>
            </w:r>
          </w:p>
          <w:p>
            <w:pPr>
              <w:spacing w:line="360" w:lineRule="auto"/>
              <w:jc w:val="center"/>
              <w:rPr>
                <w:rFonts w:hint="eastAsia" w:ascii="宋体" w:hAnsi="宋体" w:eastAsia="宋体" w:cs="宋体"/>
                <w:color w:val="0000FF"/>
                <w:spacing w:val="16"/>
                <w:kern w:val="0"/>
                <w:sz w:val="24"/>
                <w:highlight w:val="none"/>
              </w:rPr>
            </w:pPr>
            <w:r>
              <w:rPr>
                <w:rFonts w:hint="eastAsia" w:ascii="宋体" w:hAnsi="宋体" w:eastAsia="宋体" w:cs="宋体"/>
                <w:color w:val="0000FF"/>
                <w:sz w:val="24"/>
                <w:highlight w:val="none"/>
              </w:rPr>
              <mc:AlternateContent>
                <mc:Choice Requires="wps">
                  <w:drawing>
                    <wp:anchor distT="0" distB="0" distL="114300" distR="114300" simplePos="0" relativeHeight="251702272" behindDoc="0" locked="0" layoutInCell="1" allowOverlap="1">
                      <wp:simplePos x="0" y="0"/>
                      <wp:positionH relativeFrom="column">
                        <wp:posOffset>2538095</wp:posOffset>
                      </wp:positionH>
                      <wp:positionV relativeFrom="paragraph">
                        <wp:posOffset>994410</wp:posOffset>
                      </wp:positionV>
                      <wp:extent cx="528955" cy="249555"/>
                      <wp:effectExtent l="0" t="0" r="0" b="0"/>
                      <wp:wrapNone/>
                      <wp:docPr id="105" name="文本框 105"/>
                      <wp:cNvGraphicFramePr/>
                      <a:graphic xmlns:a="http://schemas.openxmlformats.org/drawingml/2006/main">
                        <a:graphicData uri="http://schemas.microsoft.com/office/word/2010/wordprocessingShape">
                          <wps:wsp>
                            <wps:cNvSpPr txBox="1"/>
                            <wps:spPr>
                              <a:xfrm>
                                <a:off x="0" y="0"/>
                                <a:ext cx="528955" cy="2495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sz w:val="15"/>
                                      <w:szCs w:val="15"/>
                                      <w:lang w:val="en-US" w:eastAsia="zh-CN"/>
                                    </w:rPr>
                                  </w:pPr>
                                  <w:r>
                                    <w:rPr>
                                      <w:rFonts w:hint="eastAsia" w:eastAsia="宋体"/>
                                      <w:sz w:val="15"/>
                                      <w:szCs w:val="15"/>
                                      <w:lang w:val="en-US" w:eastAsia="zh-CN"/>
                                    </w:rPr>
                                    <w:t>墙体</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199.85pt;margin-top:78.3pt;height:19.65pt;width:41.65pt;z-index:251702272;mso-width-relative:page;mso-height-relative:page;" filled="f" stroked="f" coordsize="21600,21600" o:gfxdata="UEsDBAoAAAAAAIdO4kAAAAAAAAAAAAAAAAAEAAAAZHJzL1BLAwQUAAAACACHTuJA+U17F9kAAAAL&#10;AQAADwAAAGRycy9kb3ducmV2LnhtbE2PS0/DMBCE70j8B2uRuFE7lIYmxOmBxw0KFJDg5sRLEuFH&#10;ZDtp+fcsJzjuzKfZmWpzsIbNGOLgnYRsIYCha70eXCfh9eXubA0sJuW0Mt6hhG+MsKmPjypVar93&#10;zzjvUscoxMVSSehTGkvOY9ujVXHhR3TkffpgVaIzdFwHtadwa/i5EDm3anD0oVcjXvfYfu0mK8G8&#10;x3DfiPQx33QP6emRT2+32VbK05NMXAFLeEh/MPzWp+pQU6fGT05HZiQsi+KSUDJWeQ6MiIv1ktY1&#10;pBSrAnhd8f8b6h9QSwMEFAAAAAgAh07iQOV8ga8xAgAAWQQAAA4AAABkcnMvZTJvRG9jLnhtbK1U&#10;wW4TMRC9I/EPlu90k0CqEnVThVZFSBWtVBBnx+vNrmR7jO10t3wA/AEnLtz5rnwHz95sigqHHrg4&#10;b2fGM/PejHN61hvN7pQPLdmST48mnCkrqWrtpuQfP1y+OOEsRGErocmqkt+rwM+Wz5+ddm6hZtSQ&#10;rpRnSGLDonMlb2J0i6IIslFGhCNyysJZkzci4tNvisqLDtmNLmaTyXHRka+cJ6lCgPVicPJ9Rv+U&#10;hFTXrVQXJLdG2Thk9UqLCEqhaV3gy9xtXSsZr+s6qMh0ycE05hNFgNfpLJanYrHxwjWt3LcgntLC&#10;I05GtBZFD6kuRBRs69u/UplWegpUxyNJphiIZEXAYjp5pM1tI5zKXCB1cAfRw/9LK9/f3XjWVtiE&#10;yZwzKwxGvvv+bffj1+7nV5aMkKhzYYHIW4fY2L+hHuGjPcCYmPe1N+kXnBj8EPj+ILDqI5Mwzmcn&#10;r+coI+GavQLM2YuHy86H+FaRYQmU3GN+WVZxdxUiGkHoGJJqWbpstc4z1JZ1JT9+OZ/kCwcPbmiL&#10;i4nC0GpCsV/3e15rqu5By9OwG8HJyxbFr0SIN8JjGcAEzyVe46g1oQjtEWcN+S//sqd4zAhezjos&#10;V8nD563wijP9zmJ6aRNH4EewHoHdmnPCvk7xEJ3MEBd81COsPZlPeEWrVAUuYSVqlTyO8DwOK45X&#10;KNVqlYOwb07EK3vrZEo9yLfaRqrbrGySZdBirxY2Lgu+fx1ppf/8zlEP/wjL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PlNexfZAAAACwEAAA8AAAAAAAAAAQAgAAAAIgAAAGRycy9kb3ducmV2Lnht&#10;bFBLAQIUABQAAAAIAIdO4kDlfIGvMQIAAFkEAAAOAAAAAAAAAAEAIAAAACgBAABkcnMvZTJvRG9j&#10;LnhtbFBLBQYAAAAABgAGAFkBAADLBQAAAAA=&#10;">
                      <v:fill on="f" focussize="0,0"/>
                      <v:stroke on="f" weight="0.5pt"/>
                      <v:imagedata o:title=""/>
                      <o:lock v:ext="edit" aspectratio="f"/>
                      <v:textbox inset="0mm,0mm,0mm,0mm">
                        <w:txbxContent>
                          <w:p>
                            <w:pPr>
                              <w:rPr>
                                <w:rFonts w:hint="default" w:eastAsia="宋体"/>
                                <w:sz w:val="15"/>
                                <w:szCs w:val="15"/>
                                <w:lang w:val="en-US" w:eastAsia="zh-CN"/>
                              </w:rPr>
                            </w:pPr>
                            <w:r>
                              <w:rPr>
                                <w:rFonts w:hint="eastAsia" w:eastAsia="宋体"/>
                                <w:sz w:val="15"/>
                                <w:szCs w:val="15"/>
                                <w:lang w:val="en-US" w:eastAsia="zh-CN"/>
                              </w:rPr>
                              <w:t>墙体</w:t>
                            </w:r>
                          </w:p>
                        </w:txbxContent>
                      </v:textbox>
                    </v:shape>
                  </w:pict>
                </mc:Fallback>
              </mc:AlternateContent>
            </w:r>
            <w:r>
              <w:rPr>
                <w:rFonts w:hint="eastAsia" w:ascii="宋体" w:hAnsi="宋体" w:eastAsia="宋体" w:cs="宋体"/>
                <w:color w:val="0000FF"/>
                <w:sz w:val="24"/>
                <w:highlight w:val="none"/>
              </w:rPr>
              <mc:AlternateContent>
                <mc:Choice Requires="wps">
                  <w:drawing>
                    <wp:anchor distT="0" distB="0" distL="114300" distR="114300" simplePos="0" relativeHeight="251701248" behindDoc="0" locked="0" layoutInCell="1" allowOverlap="1">
                      <wp:simplePos x="0" y="0"/>
                      <wp:positionH relativeFrom="column">
                        <wp:posOffset>425450</wp:posOffset>
                      </wp:positionH>
                      <wp:positionV relativeFrom="paragraph">
                        <wp:posOffset>1042670</wp:posOffset>
                      </wp:positionV>
                      <wp:extent cx="528955" cy="249555"/>
                      <wp:effectExtent l="0" t="0" r="0" b="0"/>
                      <wp:wrapNone/>
                      <wp:docPr id="104" name="文本框 104"/>
                      <wp:cNvGraphicFramePr/>
                      <a:graphic xmlns:a="http://schemas.openxmlformats.org/drawingml/2006/main">
                        <a:graphicData uri="http://schemas.microsoft.com/office/word/2010/wordprocessingShape">
                          <wps:wsp>
                            <wps:cNvSpPr txBox="1"/>
                            <wps:spPr>
                              <a:xfrm>
                                <a:off x="0" y="0"/>
                                <a:ext cx="528955" cy="2495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sz w:val="15"/>
                                      <w:szCs w:val="15"/>
                                      <w:lang w:val="en-US" w:eastAsia="zh-CN"/>
                                    </w:rPr>
                                  </w:pPr>
                                  <w:r>
                                    <w:rPr>
                                      <w:rFonts w:hint="eastAsia" w:eastAsia="宋体"/>
                                      <w:sz w:val="15"/>
                                      <w:szCs w:val="15"/>
                                      <w:lang w:val="en-US" w:eastAsia="zh-CN"/>
                                    </w:rPr>
                                    <w:t>墙体</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33.5pt;margin-top:82.1pt;height:19.65pt;width:41.65pt;z-index:251701248;mso-width-relative:page;mso-height-relative:page;" filled="f" stroked="f" coordsize="21600,21600" o:gfxdata="UEsDBAoAAAAAAIdO4kAAAAAAAAAAAAAAAAAEAAAAZHJzL1BLAwQUAAAACACHTuJAb+w3/9gAAAAK&#10;AQAADwAAAGRycy9kb3ducmV2LnhtbE2PS0/DMBCE70j8B2uRuFE7KQ0oxOmBx41nWyS4ObFJIux1&#10;ZG/S8u9xT3CcndHsN9X64CybTYiDRwnZQgAz2Ho9YCdht324uAYWSaFW1qOR8GMirOvTk0qV2u/x&#10;zcwb6lgqwVgqCT3RWHIe2944FRd+NJi8Lx+coiRDx3VQ+1TuLM+FKLhTA6YPvRrNbW/a783kJNiP&#10;GB4bQZ/zXfdEry98er/PnqU8P8vEDTAyB/oLwxE/oUOdmBo/oY7MSiiu0hRK9+IyB3YMrMQSWCMh&#10;F8sV8Lri/yfUv1BLAwQUAAAACACHTuJACyOt8jICAABZBAAADgAAAGRycy9lMm9Eb2MueG1srVTB&#10;jtMwEL0j8Q+W7zRp2a6WqumqbFWEtGJXKoiz6ziNJdtjbLdJ+QD4A0574c539TsYO0kXLRz2wMV9&#10;mRnP+L2Z6fy61YochPMSTEHHo5wSYTiU0uwK+unj+tUVJT4wUzIFRhT0KDy9Xrx8MW/sTEygBlUK&#10;RzCJ8bPGFrQOwc6yzPNaaOZHYIVBZwVOs4CfbpeVjjWYXatskueXWQOutA648B6tq85J+4zuOQmh&#10;qiQXK+B7LUzosjqhWEBKvpbW00V6bVUJHu6qyotAVEGRaUgnFkG8jWe2mLPZzjFbS94/gT3nCU84&#10;aSYNFj2nWrHAyN7Jv1JpyR14qMKIg846IkkRZDHOn2izqZkViQtK7e1ZdP//0vIPh3tHZImTkF9Q&#10;YpjGlp9+fD89/Dr9/EaiESVqrJ9h5MZibGjfQovhg92jMTJvK6fjL3Ii6EeBj2eBRRsIR+N0cvVm&#10;OqWEo2tygXAas2SPl63z4Z0ATSIoqMP+JVnZ4daHLnQIibUMrKVSqYfKkKagl6+nebpw9mByZbBG&#10;pNA9NaLQbtue1xbKI9Jy0M2Gt3wtsfgt8+GeORwGZILrEu7wqBRgEegRJTW4r/+yx3jsEXopaXC4&#10;Cuq/7JkTlKj3BrsXJ3EAbgDbAZi9vgGc1zEuouUJ4gUX1AArB/ozbtEyVkEXMxxrFTQM8CZ0I45b&#10;yMVymYJw3iwLt2ZjeUzdybfcB6hkUjbK0mnRq4UTl3rTb0cc6T+/U9TjP8Li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G/sN//YAAAACgEAAA8AAAAAAAAAAQAgAAAAIgAAAGRycy9kb3ducmV2Lnht&#10;bFBLAQIUABQAAAAIAIdO4kALI63yMgIAAFkEAAAOAAAAAAAAAAEAIAAAACcBAABkcnMvZTJvRG9j&#10;LnhtbFBLBQYAAAAABgAGAFkBAADLBQAAAAA=&#10;">
                      <v:fill on="f" focussize="0,0"/>
                      <v:stroke on="f" weight="0.5pt"/>
                      <v:imagedata o:title=""/>
                      <o:lock v:ext="edit" aspectratio="f"/>
                      <v:textbox inset="0mm,0mm,0mm,0mm">
                        <w:txbxContent>
                          <w:p>
                            <w:pPr>
                              <w:rPr>
                                <w:rFonts w:hint="default" w:eastAsia="宋体"/>
                                <w:sz w:val="15"/>
                                <w:szCs w:val="15"/>
                                <w:lang w:val="en-US" w:eastAsia="zh-CN"/>
                              </w:rPr>
                            </w:pPr>
                            <w:r>
                              <w:rPr>
                                <w:rFonts w:hint="eastAsia" w:eastAsia="宋体"/>
                                <w:sz w:val="15"/>
                                <w:szCs w:val="15"/>
                                <w:lang w:val="en-US" w:eastAsia="zh-CN"/>
                              </w:rPr>
                              <w:t>墙体</w:t>
                            </w:r>
                          </w:p>
                        </w:txbxContent>
                      </v:textbox>
                    </v:shape>
                  </w:pict>
                </mc:Fallback>
              </mc:AlternateContent>
            </w:r>
            <w:r>
              <w:rPr>
                <w:rFonts w:hint="eastAsia" w:ascii="宋体" w:hAnsi="宋体" w:eastAsia="宋体" w:cs="宋体"/>
                <w:color w:val="0000FF"/>
                <w:sz w:val="24"/>
                <w:highlight w:val="none"/>
              </w:rPr>
              <mc:AlternateContent>
                <mc:Choice Requires="wps">
                  <w:drawing>
                    <wp:anchor distT="0" distB="0" distL="114300" distR="114300" simplePos="0" relativeHeight="251700224" behindDoc="0" locked="0" layoutInCell="1" allowOverlap="1">
                      <wp:simplePos x="0" y="0"/>
                      <wp:positionH relativeFrom="column">
                        <wp:posOffset>1374775</wp:posOffset>
                      </wp:positionH>
                      <wp:positionV relativeFrom="paragraph">
                        <wp:posOffset>2767330</wp:posOffset>
                      </wp:positionV>
                      <wp:extent cx="528955" cy="249555"/>
                      <wp:effectExtent l="0" t="0" r="0" b="0"/>
                      <wp:wrapNone/>
                      <wp:docPr id="103" name="文本框 103"/>
                      <wp:cNvGraphicFramePr/>
                      <a:graphic xmlns:a="http://schemas.openxmlformats.org/drawingml/2006/main">
                        <a:graphicData uri="http://schemas.microsoft.com/office/word/2010/wordprocessingShape">
                          <wps:wsp>
                            <wps:cNvSpPr txBox="1"/>
                            <wps:spPr>
                              <a:xfrm>
                                <a:off x="0" y="0"/>
                                <a:ext cx="528955" cy="2495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sz w:val="15"/>
                                      <w:szCs w:val="15"/>
                                      <w:lang w:val="en-US" w:eastAsia="zh-CN"/>
                                    </w:rPr>
                                  </w:pPr>
                                  <w:r>
                                    <w:rPr>
                                      <w:rFonts w:hint="eastAsia" w:eastAsia="宋体"/>
                                      <w:sz w:val="15"/>
                                      <w:szCs w:val="15"/>
                                      <w:lang w:val="en-US" w:eastAsia="zh-CN"/>
                                    </w:rPr>
                                    <w:t>墙体</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108.25pt;margin-top:217.9pt;height:19.65pt;width:41.65pt;z-index:251700224;mso-width-relative:page;mso-height-relative:page;" filled="f" stroked="f" coordsize="21600,21600" o:gfxdata="UEsDBAoAAAAAAIdO4kAAAAAAAAAAAAAAAAAEAAAAZHJzL1BLAwQUAAAACACHTuJAUoHfodoAAAAL&#10;AQAADwAAAGRycy9kb3ducmV2LnhtbE2PS0/DMBCE70j8B2uRuFHbgZQ2xOmBx41nCxLcnHhJImI7&#10;sp20/HuWE9x2d0az35Sbgx3YjCH23imQCwEMXeNN71oFr7u7sxWwmLQzevAOFXxjhE11fFTqwvi9&#10;e8F5m1pGIS4WWkGX0lhwHpsOrY4LP6Ij7dMHqxOtoeUm6D2F24FnQiy51b2jD50e8brD5ms7WQXD&#10;ewz3tUgf8037kJ6f+PR2Kx+VOj2R4gpYwkP6M8MvPqFDRUy1n5yJbFCQyWVOVgUX5zl1IEe2XtNQ&#10;0+Uyl8Crkv/vUP0AUEsDBBQAAAAIAIdO4kDAuhm6MgIAAFkEAAAOAAAAZHJzL2Uyb0RvYy54bWyt&#10;VMGO0zAQvSPxD5bvNGmXrpaq6apsVYS0YlcqiLPrOI0l22Nst0n5APgDTnvhznf1Oxg7SRctHPbA&#10;xX2ZGc/4vZnp/LrVihyE8xJMQcejnBJhOJTS7Ar66eP61RUlPjBTMgVGFPQoPL1evHwxb+xMTKAG&#10;VQpHMInxs8YWtA7BzrLM81po5kdghUFnBU6zgJ9ul5WONZhdq2yS55dZA660DrjwHq2rzkn7jO45&#10;CaGqJBcr4HstTOiyOqFYQEq+ltbTRXptVQke7qrKi0BUQZFpSCcWQbyNZ7aYs9nOMVtL3j+BPecJ&#10;TzhpJg0WPadascDI3sm/UmnJHXiowoiDzjoiSRFkMc6faLOpmRWJC0rt7Vl0///S8g+He0dkiZOQ&#10;X1BimMaWn358Pz38Ov38RqIRJWqsn2HkxmJsaN9Ci+GD3aMxMm8rp+MvciLoR4GPZ4FFGwhH43Ry&#10;9WY6pYSja/Ia4TRmyR4vW+fDOwGaRFBQh/1LsrLDrQ9d6BASaxlYS6VSD5UhTUEvL6Z5unD2YHJl&#10;sEak0D01otBu257XFsoj0nLQzYa3fC2x+C3z4Z45HAZkgusS7vCoFGAR6BElNbiv/7LHeOwReilp&#10;cLgK6r/smROUqPcGuxcncQBuANsBmL2+AZzXMS6i5QniBRfUACsH+jNu0TJWQRczHGsVNAzwJnQj&#10;jlvIxXKZgnDeLAu3ZmN5TN3Jt9wHqGRSNsrSadGrhROXetNvRxzpP79T1OM/wuI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UoHfodoAAAALAQAADwAAAAAAAAABACAAAAAiAAAAZHJzL2Rvd25yZXYu&#10;eG1sUEsBAhQAFAAAAAgAh07iQMC6GboyAgAAWQQAAA4AAAAAAAAAAQAgAAAAKQEAAGRycy9lMm9E&#10;b2MueG1sUEsFBgAAAAAGAAYAWQEAAM0FAAAAAA==&#10;">
                      <v:fill on="f" focussize="0,0"/>
                      <v:stroke on="f" weight="0.5pt"/>
                      <v:imagedata o:title=""/>
                      <o:lock v:ext="edit" aspectratio="f"/>
                      <v:textbox inset="0mm,0mm,0mm,0mm">
                        <w:txbxContent>
                          <w:p>
                            <w:pPr>
                              <w:rPr>
                                <w:rFonts w:hint="default" w:eastAsia="宋体"/>
                                <w:sz w:val="15"/>
                                <w:szCs w:val="15"/>
                                <w:lang w:val="en-US" w:eastAsia="zh-CN"/>
                              </w:rPr>
                            </w:pPr>
                            <w:r>
                              <w:rPr>
                                <w:rFonts w:hint="eastAsia" w:eastAsia="宋体"/>
                                <w:sz w:val="15"/>
                                <w:szCs w:val="15"/>
                                <w:lang w:val="en-US" w:eastAsia="zh-CN"/>
                              </w:rPr>
                              <w:t>墙体</w:t>
                            </w:r>
                          </w:p>
                        </w:txbxContent>
                      </v:textbox>
                    </v:shape>
                  </w:pict>
                </mc:Fallback>
              </mc:AlternateContent>
            </w:r>
            <w:r>
              <w:rPr>
                <w:rFonts w:hint="eastAsia" w:ascii="宋体" w:hAnsi="宋体" w:eastAsia="宋体" w:cs="宋体"/>
                <w:color w:val="0000FF"/>
                <w:sz w:val="24"/>
                <w:highlight w:val="none"/>
              </w:rPr>
              <mc:AlternateContent>
                <mc:Choice Requires="wps">
                  <w:drawing>
                    <wp:anchor distT="0" distB="0" distL="114300" distR="114300" simplePos="0" relativeHeight="251699200" behindDoc="0" locked="0" layoutInCell="1" allowOverlap="1">
                      <wp:simplePos x="0" y="0"/>
                      <wp:positionH relativeFrom="column">
                        <wp:posOffset>1485265</wp:posOffset>
                      </wp:positionH>
                      <wp:positionV relativeFrom="paragraph">
                        <wp:posOffset>2095500</wp:posOffset>
                      </wp:positionV>
                      <wp:extent cx="528955" cy="249555"/>
                      <wp:effectExtent l="0" t="0" r="0" b="0"/>
                      <wp:wrapNone/>
                      <wp:docPr id="102" name="文本框 102"/>
                      <wp:cNvGraphicFramePr/>
                      <a:graphic xmlns:a="http://schemas.openxmlformats.org/drawingml/2006/main">
                        <a:graphicData uri="http://schemas.microsoft.com/office/word/2010/wordprocessingShape">
                          <wps:wsp>
                            <wps:cNvSpPr txBox="1"/>
                            <wps:spPr>
                              <a:xfrm>
                                <a:off x="0" y="0"/>
                                <a:ext cx="528955" cy="2495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sz w:val="15"/>
                                      <w:szCs w:val="15"/>
                                      <w:lang w:val="en-US" w:eastAsia="zh-CN"/>
                                    </w:rPr>
                                  </w:pPr>
                                  <w:r>
                                    <w:rPr>
                                      <w:rFonts w:hint="eastAsia" w:eastAsia="宋体"/>
                                      <w:sz w:val="15"/>
                                      <w:szCs w:val="15"/>
                                      <w:lang w:val="en-US" w:eastAsia="zh-CN"/>
                                    </w:rPr>
                                    <w:t>墙体</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116.95pt;margin-top:165pt;height:19.65pt;width:41.65pt;z-index:251699200;mso-width-relative:page;mso-height-relative:page;" filled="f" stroked="f" coordsize="21600,21600" o:gfxdata="UEsDBAoAAAAAAIdO4kAAAAAAAAAAAAAAAAAEAAAAZHJzL1BLAwQUAAAACACHTuJAMOljC9kAAAAL&#10;AQAADwAAAGRycy9kb3ducmV2LnhtbE2Py07EMAxF90j8Q2QkdkzSRhqY0nQWPHY8B5BglzahrUic&#10;Kkk7w99jVrCz5aPrc+vtwTu22JjGgAqKlQBmsQtmxF7B68vt2QWwlDUa7QJaBd82wbY5Pqp1ZcIe&#10;n+2yyz2jEEyVVjDkPFWcp26wXqdVmCzS7TNErzOtsecm6j2Fe8dLIdbc6xHpw6AnezXY7ms3ewXu&#10;PcW7VuSP5bq/z0+PfH67KR6UOj0pxCWwbA/5D4ZffVKHhpzaMKNJzCkopdwQqkBKQaWIkMV5Cayl&#10;Yb2RwJua/+/Q/ABQSwMEFAAAAAgAh07iQC7lNecxAgAAWQQAAA4AAABkcnMvZTJvRG9jLnhtbK1U&#10;zY4TMQy+I/EOUe50poWulqrTVdmqCKliVyqIc5pJOpGSOCRpZ8oDwBtw4sKd5+pz4MxPFy0c9sAl&#10;/cZ27Hyf7c5vGqPJUfigwBZ0PMopEZZDqey+oB8/rF9cUxIisyXTYEVBTyLQm8XzZ/PazcQEKtCl&#10;8AST2DCrXUGrGN0sywKvhGFhBE5YdErwhkX89Pus9KzG7EZnkzy/ymrwpfPARQhoXXVO2mf0T0kI&#10;UiouVsAPRtjYZfVCs4iUQqVcoIv2tVIKHu+kDCISXVBkGtsTiyDepTNbzNls75mrFO+fwJ7yhEec&#10;DFMWi15SrVhk5ODVX6mM4h4CyDjiYLKOSKsIshjnj7TZVsyJlgtKHdxF9PD/0vL3x3tPVImTkE8o&#10;scxgy8/fv51//Dr//EqSESWqXZhh5NZhbGzeQIPhgz2gMTFvpDfpFzkR9KPAp4vAoomEo3E6uX49&#10;nVLC0TV5hXCasmQPl50P8a0AQxIoqMf+tbKy4ybELnQISbUsrJXWbQ+1JXVBr15O8/bCxYPJtcUa&#10;iUL31IRis2t6XjsoT0jLQzcbwfG1wuIbFuI98zgMyATXJd7hITVgEegRJRX4L/+yp3jsEXopqXG4&#10;Cho+H5gXlOh3FruXJnEAfgC7AdiDuQWc1zEuouMtxAs+6gFKD+YTbtEyVUEXsxxrFTQO8DZ2I45b&#10;yMVy2QbhvDkWN3breErdybc8RJCqVTbJ0mnRq4UT1/am34400n9+t1EP/wiL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DDpYwvZAAAACwEAAA8AAAAAAAAAAQAgAAAAIgAAAGRycy9kb3ducmV2Lnht&#10;bFBLAQIUABQAAAAIAIdO4kAu5TXnMQIAAFkEAAAOAAAAAAAAAAEAIAAAACgBAABkcnMvZTJvRG9j&#10;LnhtbFBLBQYAAAAABgAGAFkBAADLBQAAAAA=&#10;">
                      <v:fill on="f" focussize="0,0"/>
                      <v:stroke on="f" weight="0.5pt"/>
                      <v:imagedata o:title=""/>
                      <o:lock v:ext="edit" aspectratio="f"/>
                      <v:textbox inset="0mm,0mm,0mm,0mm">
                        <w:txbxContent>
                          <w:p>
                            <w:pPr>
                              <w:rPr>
                                <w:rFonts w:hint="default" w:eastAsia="宋体"/>
                                <w:sz w:val="15"/>
                                <w:szCs w:val="15"/>
                                <w:lang w:val="en-US" w:eastAsia="zh-CN"/>
                              </w:rPr>
                            </w:pPr>
                            <w:r>
                              <w:rPr>
                                <w:rFonts w:hint="eastAsia" w:eastAsia="宋体"/>
                                <w:sz w:val="15"/>
                                <w:szCs w:val="15"/>
                                <w:lang w:val="en-US" w:eastAsia="zh-CN"/>
                              </w:rPr>
                              <w:t>墙体</w:t>
                            </w:r>
                          </w:p>
                        </w:txbxContent>
                      </v:textbox>
                    </v:shape>
                  </w:pict>
                </mc:Fallback>
              </mc:AlternateContent>
            </w:r>
            <w:r>
              <w:rPr>
                <w:rFonts w:hint="eastAsia" w:ascii="宋体" w:hAnsi="宋体" w:eastAsia="宋体" w:cs="宋体"/>
                <w:color w:val="0000FF"/>
                <w:sz w:val="24"/>
                <w:highlight w:val="none"/>
              </w:rPr>
              <mc:AlternateContent>
                <mc:Choice Requires="wps">
                  <w:drawing>
                    <wp:anchor distT="0" distB="0" distL="114300" distR="114300" simplePos="0" relativeHeight="251698176" behindDoc="0" locked="0" layoutInCell="1" allowOverlap="1">
                      <wp:simplePos x="0" y="0"/>
                      <wp:positionH relativeFrom="column">
                        <wp:posOffset>1568450</wp:posOffset>
                      </wp:positionH>
                      <wp:positionV relativeFrom="paragraph">
                        <wp:posOffset>197485</wp:posOffset>
                      </wp:positionV>
                      <wp:extent cx="528955" cy="249555"/>
                      <wp:effectExtent l="0" t="0" r="0" b="0"/>
                      <wp:wrapNone/>
                      <wp:docPr id="101" name="文本框 101"/>
                      <wp:cNvGraphicFramePr/>
                      <a:graphic xmlns:a="http://schemas.openxmlformats.org/drawingml/2006/main">
                        <a:graphicData uri="http://schemas.microsoft.com/office/word/2010/wordprocessingShape">
                          <wps:wsp>
                            <wps:cNvSpPr txBox="1"/>
                            <wps:spPr>
                              <a:xfrm>
                                <a:off x="0" y="0"/>
                                <a:ext cx="528955" cy="2495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sz w:val="15"/>
                                      <w:szCs w:val="15"/>
                                      <w:lang w:val="en-US" w:eastAsia="zh-CN"/>
                                    </w:rPr>
                                  </w:pPr>
                                  <w:r>
                                    <w:rPr>
                                      <w:rFonts w:hint="eastAsia" w:eastAsia="宋体"/>
                                      <w:sz w:val="15"/>
                                      <w:szCs w:val="15"/>
                                      <w:lang w:val="en-US" w:eastAsia="zh-CN"/>
                                    </w:rPr>
                                    <w:t>墙体</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123.5pt;margin-top:15.55pt;height:19.65pt;width:41.65pt;z-index:251698176;mso-width-relative:page;mso-height-relative:page;" filled="f" stroked="f" coordsize="21600,21600" o:gfxdata="UEsDBAoAAAAAAIdO4kAAAAAAAAAAAAAAAAAEAAAAZHJzL1BLAwQUAAAACACHTuJAtBVjJtgAAAAJ&#10;AQAADwAAAGRycy9kb3ducmV2LnhtbE2Py07DMBRE90j8g3WR2FHbTUVRiNMFjx3PQqWyc2KTRNjX&#10;kX2Tlr/HrGA5mtHMmWpz9I7NNqYhoAK5EMAstsEM2Cl4f7u/uAKWSKPRLqBV8G0TbOrTk0qXJhzw&#10;1c5b6lguwVRqBT3RWHKe2t56nRZhtJi9zxC9pixjx03Uh1zuHV8Kccm9HjAv9Hq0N71tv7aTV+D2&#10;KT40gj7m2+6RXp75tLuTT0qdn0lxDYzskf7C8Iuf0aHOTE2Y0CTmFCxX6/yFFBRSAsuBohAFsEbB&#10;WqyA1xX//6D+AVBLAwQUAAAACACHTuJAHAVBADECAABZBAAADgAAAGRycy9lMm9Eb2MueG1srVTB&#10;bhMxEL0j8Q+W73STQKoSZVOFRkFIFa0UEGfH682uZHuM7XS3fAD8AScu3PmufAfPu9kUFQ49cHFm&#10;Z8Zv5r0ZZ37ZGs3ulA812ZyPz0acKSupqO0u5x8/rF9ccBaisIXQZFXO71Xgl4vnz+aNm6kJVaQL&#10;5RlAbJg1LudVjG6WZUFWyohwRk5ZBEvyRkR8+l1WeNEA3ehsMhqdZw35wnmSKgR4V32QHxH9UwCp&#10;LGupViT3RtnYo3qlRQSlUNUu8EXXbVkqGW/KMqjIdM7BNHYnisDepjNbzMVs54WranlsQTylhUec&#10;jKgtip6gViIKtvf1X1Cmlp4ClfFMksl6Ip0iYDEePdJmUwmnOi6QOriT6OH/wcr3d7ee1QU2YTTm&#10;zAqDkR++fzv8+HX4+ZUlJyRqXJghc+OQG9s31CJ98Ac4E/O29Cb9ghNDHALfnwRWbWQSzunk4vV0&#10;yplEaPIK5jShZA+XnQ/xrSLDkpFzj/l1soq76xD71CEl1bK0rrXuZqgta3J+/nI66i6cIgDXFjUS&#10;hb7VZMV22x55bam4By1P/W4EJ9c1il+LEG+FxzKACZ5LvMFRakIROlqcVeS//Muf8jEjRDlrsFw5&#10;D5/3wivO9DuL6aVNHAw/GNvBsHtzRdhXzAPddCYu+KgHs/RkPuEVLVMVhISVqJXzOJhXsV9xvEKp&#10;lssuCfvmRLy2GycTdC/fch+prDtlkyy9Fke1sHHdbI6vI630n99d1sM/wuI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tBVjJtgAAAAJAQAADwAAAAAAAAABACAAAAAiAAAAZHJzL2Rvd25yZXYueG1s&#10;UEsBAhQAFAAAAAgAh07iQBwFQQAxAgAAWQQAAA4AAAAAAAAAAQAgAAAAJwEAAGRycy9lMm9Eb2Mu&#10;eG1sUEsFBgAAAAAGAAYAWQEAAMoFAAAAAA==&#10;">
                      <v:fill on="f" focussize="0,0"/>
                      <v:stroke on="f" weight="0.5pt"/>
                      <v:imagedata o:title=""/>
                      <o:lock v:ext="edit" aspectratio="f"/>
                      <v:textbox inset="0mm,0mm,0mm,0mm">
                        <w:txbxContent>
                          <w:p>
                            <w:pPr>
                              <w:rPr>
                                <w:rFonts w:hint="default" w:eastAsia="宋体"/>
                                <w:sz w:val="15"/>
                                <w:szCs w:val="15"/>
                                <w:lang w:val="en-US" w:eastAsia="zh-CN"/>
                              </w:rPr>
                            </w:pPr>
                            <w:r>
                              <w:rPr>
                                <w:rFonts w:hint="eastAsia" w:eastAsia="宋体"/>
                                <w:sz w:val="15"/>
                                <w:szCs w:val="15"/>
                                <w:lang w:val="en-US" w:eastAsia="zh-CN"/>
                              </w:rPr>
                              <w:t>墙体</w:t>
                            </w:r>
                          </w:p>
                        </w:txbxContent>
                      </v:textbox>
                    </v:shape>
                  </w:pict>
                </mc:Fallback>
              </mc:AlternateContent>
            </w:r>
            <w:r>
              <w:rPr>
                <w:rFonts w:hint="eastAsia" w:ascii="宋体" w:hAnsi="宋体" w:eastAsia="宋体" w:cs="宋体"/>
                <w:color w:val="0000FF"/>
                <w:highlight w:val="none"/>
              </w:rPr>
              <mc:AlternateContent>
                <mc:Choice Requires="wps">
                  <w:drawing>
                    <wp:anchor distT="0" distB="0" distL="114300" distR="114300" simplePos="0" relativeHeight="251661312" behindDoc="0" locked="0" layoutInCell="1" allowOverlap="1">
                      <wp:simplePos x="0" y="0"/>
                      <wp:positionH relativeFrom="column">
                        <wp:posOffset>4665980</wp:posOffset>
                      </wp:positionH>
                      <wp:positionV relativeFrom="paragraph">
                        <wp:posOffset>3908425</wp:posOffset>
                      </wp:positionV>
                      <wp:extent cx="741680" cy="695325"/>
                      <wp:effectExtent l="4445" t="4445" r="15875" b="5080"/>
                      <wp:wrapNone/>
                      <wp:docPr id="30" name="文本框 2"/>
                      <wp:cNvGraphicFramePr/>
                      <a:graphic xmlns:a="http://schemas.openxmlformats.org/drawingml/2006/main">
                        <a:graphicData uri="http://schemas.microsoft.com/office/word/2010/wordprocessingShape">
                          <wps:wsp>
                            <wps:cNvSpPr txBox="1"/>
                            <wps:spPr>
                              <a:xfrm>
                                <a:off x="0" y="0"/>
                                <a:ext cx="741680" cy="695325"/>
                              </a:xfrm>
                              <a:prstGeom prst="rect">
                                <a:avLst/>
                              </a:prstGeom>
                              <a:noFill/>
                              <a:ln w="9525" cap="flat" cmpd="sng">
                                <a:solidFill>
                                  <a:srgbClr val="000000"/>
                                </a:solidFill>
                                <a:prstDash val="solid"/>
                                <a:miter/>
                                <a:headEnd type="none" w="med" len="med"/>
                                <a:tailEnd type="none" w="med" len="med"/>
                              </a:ln>
                            </wps:spPr>
                            <wps:txbx>
                              <w:txbxContent>
                                <w:p>
                                  <w:pPr>
                                    <w:jc w:val="center"/>
                                    <w:rPr>
                                      <w:sz w:val="15"/>
                                      <w:szCs w:val="15"/>
                                    </w:rPr>
                                  </w:pPr>
                                  <w:r>
                                    <w:rPr>
                                      <w:sz w:val="15"/>
                                      <w:szCs w:val="15"/>
                                    </w:rPr>
                                    <w:t>图</w:t>
                                  </w:r>
                                  <w:r>
                                    <w:rPr>
                                      <w:rFonts w:hint="eastAsia"/>
                                      <w:sz w:val="15"/>
                                      <w:szCs w:val="15"/>
                                    </w:rPr>
                                    <w:t xml:space="preserve"> </w:t>
                                  </w:r>
                                  <w:r>
                                    <w:rPr>
                                      <w:sz w:val="15"/>
                                      <w:szCs w:val="15"/>
                                    </w:rPr>
                                    <w:t>例</w:t>
                                  </w:r>
                                </w:p>
                                <w:p>
                                  <w:pPr>
                                    <w:rPr>
                                      <w:sz w:val="15"/>
                                      <w:szCs w:val="15"/>
                                    </w:rPr>
                                  </w:pPr>
                                  <w:r>
                                    <w:rPr>
                                      <w:rFonts w:hint="eastAsia"/>
                                      <w:sz w:val="15"/>
                                      <w:szCs w:val="15"/>
                                    </w:rPr>
                                    <w:t>控制区</w:t>
                                  </w:r>
                                </w:p>
                                <w:p>
                                  <w:pPr>
                                    <w:rPr>
                                      <w:sz w:val="15"/>
                                      <w:szCs w:val="15"/>
                                    </w:rPr>
                                  </w:pPr>
                                  <w:r>
                                    <w:rPr>
                                      <w:rFonts w:hint="eastAsia"/>
                                      <w:sz w:val="15"/>
                                      <w:szCs w:val="15"/>
                                    </w:rPr>
                                    <w:t>监督区</w:t>
                                  </w:r>
                                </w:p>
                              </w:txbxContent>
                            </wps:txbx>
                            <wps:bodyPr upright="1">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367.4pt;margin-top:307.75pt;height:54.75pt;width:58.4pt;z-index:251661312;mso-width-relative:page;mso-height-relative:margin;mso-height-percent:200;" filled="f" stroked="t" coordsize="21600,21600" o:gfxdata="UEsDBAoAAAAAAIdO4kAAAAAAAAAAAAAAAAAEAAAAZHJzL1BLAwQUAAAACACHTuJAunQhzdkAAAAL&#10;AQAADwAAAGRycy9kb3ducmV2LnhtbE2PMU/DMBSEdyT+g/UqsVE7LQ5RiNMBqMqaBonVjV+TqLEd&#10;xW4b+PU8Jjqe7nT3XbGZ7cAuOIXeOwXJUgBD13jTu1bBZ719zICFqJ3Rg3eo4BsDbMr7u0Lnxl9d&#10;hZd9bBmVuJBrBV2MY855aDq0Oiz9iI68o5+sjiSnlptJX6ncDnwlRMqt7h0tdHrE1w6b0/5sFazr&#10;969slh+1fNtV1bHyPzu5rZV6WCTiBVjEOf6H4Q+f0KEkpoM/OxPYoOB5/UToUUGaSAmMEplMUmAH&#10;slZSAC8Lfvuh/AVQSwMEFAAAAAgAh07iQNNF9qIOAgAAJwQAAA4AAABkcnMvZTJvRG9jLnhtbK1T&#10;S5LTMBDdU8UdVNoTJxkSZlxxpoAwbCigauAAiiTbqtKv1ErsXABuwIoN+zlXzkFL9iQwbLLAC7ml&#10;fnrq99Ra3fZGk70MoJyt6GwypURa7oSyTUW/frl7cU0JRGYF087Kih4k0Nv182erzpdy7lqnhQwE&#10;SSyUna9oG6MviwJ4Kw2DifPSYrJ2wbCI09AUIrAO2Y0u5tPpsuhcED44LgFwdTMk6cgYLiF0da24&#10;3Di+M9LGgTVIzSJKglZ5oOtcbV1LHj/VNchIdEVRacwjHoLxNo3FesXKJjDfKj6WwC4p4Ykmw5TF&#10;Q09UGxYZ2QX1D5VRPDhwdZxwZ4pBSHYEVcymT7y5b5mXWQtaDf5kOvw/Wv5x/zkQJSp6hZZYZvDG&#10;jz++H38+HH99I/PkT+ehRNi9R2Ds37geu+ZxHXAxye7rYNIfBRHMI9Xh5K7sI+G4+OrlbHmNGY6p&#10;5c3iar5ILMV5sw8Q30tnSAoqGvDysqds/wHiAH2EpLOsu1Na5wvUlnQVvVkgJeEMm7LGZsDQeBQG&#10;tsk04LQSaUvaDKHZvtWB7FlqjPyN1fwFS+dtGLQDLqcSjJVGRRly1Eom3llB4sGjdxbfDE3FGCko&#10;0RKfWIoyMjKlL0GiJdqiM8n4weAUxX7bI00Kt04c8DJ2PqimRadmgz7/ehfRk2zVGTYSYf9ks8de&#10;Tw365zyjzu97/R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6dCHN2QAAAAsBAAAPAAAAAAAAAAEA&#10;IAAAACIAAABkcnMvZG93bnJldi54bWxQSwECFAAUAAAACACHTuJA00X2og4CAAAnBAAADgAAAAAA&#10;AAABACAAAAAoAQAAZHJzL2Uyb0RvYy54bWxQSwUGAAAAAAYABgBZAQAAqAUAAAAA&#10;">
                      <v:fill on="f" focussize="0,0"/>
                      <v:stroke color="#000000" joinstyle="miter"/>
                      <v:imagedata o:title=""/>
                      <o:lock v:ext="edit" aspectratio="f"/>
                      <v:textbox style="mso-fit-shape-to-text:t;">
                        <w:txbxContent>
                          <w:p>
                            <w:pPr>
                              <w:jc w:val="center"/>
                              <w:rPr>
                                <w:sz w:val="15"/>
                                <w:szCs w:val="15"/>
                              </w:rPr>
                            </w:pPr>
                            <w:r>
                              <w:rPr>
                                <w:sz w:val="15"/>
                                <w:szCs w:val="15"/>
                              </w:rPr>
                              <w:t>图</w:t>
                            </w:r>
                            <w:r>
                              <w:rPr>
                                <w:rFonts w:hint="eastAsia"/>
                                <w:sz w:val="15"/>
                                <w:szCs w:val="15"/>
                              </w:rPr>
                              <w:t xml:space="preserve"> </w:t>
                            </w:r>
                            <w:r>
                              <w:rPr>
                                <w:sz w:val="15"/>
                                <w:szCs w:val="15"/>
                              </w:rPr>
                              <w:t>例</w:t>
                            </w:r>
                          </w:p>
                          <w:p>
                            <w:pPr>
                              <w:rPr>
                                <w:sz w:val="15"/>
                                <w:szCs w:val="15"/>
                              </w:rPr>
                            </w:pPr>
                            <w:r>
                              <w:rPr>
                                <w:rFonts w:hint="eastAsia"/>
                                <w:sz w:val="15"/>
                                <w:szCs w:val="15"/>
                              </w:rPr>
                              <w:t>控制区</w:t>
                            </w:r>
                          </w:p>
                          <w:p>
                            <w:pPr>
                              <w:rPr>
                                <w:sz w:val="15"/>
                                <w:szCs w:val="15"/>
                              </w:rPr>
                            </w:pPr>
                            <w:r>
                              <w:rPr>
                                <w:rFonts w:hint="eastAsia"/>
                                <w:sz w:val="15"/>
                                <w:szCs w:val="15"/>
                              </w:rPr>
                              <w:t>监督区</w:t>
                            </w:r>
                          </w:p>
                        </w:txbxContent>
                      </v:textbox>
                    </v:shape>
                  </w:pict>
                </mc:Fallback>
              </mc:AlternateContent>
            </w:r>
            <w:r>
              <w:rPr>
                <w:rFonts w:hint="eastAsia" w:ascii="宋体" w:hAnsi="宋体" w:eastAsia="宋体" w:cs="宋体"/>
                <w:color w:val="0000FF"/>
                <w:sz w:val="24"/>
                <w:highlight w:val="none"/>
              </w:rPr>
              <mc:AlternateContent>
                <mc:Choice Requires="wps">
                  <w:drawing>
                    <wp:anchor distT="0" distB="0" distL="114300" distR="114300" simplePos="0" relativeHeight="251686912" behindDoc="0" locked="0" layoutInCell="1" allowOverlap="1">
                      <wp:simplePos x="0" y="0"/>
                      <wp:positionH relativeFrom="column">
                        <wp:posOffset>1402080</wp:posOffset>
                      </wp:positionH>
                      <wp:positionV relativeFrom="paragraph">
                        <wp:posOffset>1112520</wp:posOffset>
                      </wp:positionV>
                      <wp:extent cx="528955" cy="249555"/>
                      <wp:effectExtent l="0" t="0" r="0" b="0"/>
                      <wp:wrapNone/>
                      <wp:docPr id="84" name="文本框 84"/>
                      <wp:cNvGraphicFramePr/>
                      <a:graphic xmlns:a="http://schemas.openxmlformats.org/drawingml/2006/main">
                        <a:graphicData uri="http://schemas.microsoft.com/office/word/2010/wordprocessingShape">
                          <wps:wsp>
                            <wps:cNvSpPr txBox="1"/>
                            <wps:spPr>
                              <a:xfrm>
                                <a:off x="0" y="0"/>
                                <a:ext cx="528955" cy="2495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sz w:val="15"/>
                                      <w:szCs w:val="15"/>
                                      <w:lang w:val="en-US" w:eastAsia="zh-CN"/>
                                    </w:rPr>
                                  </w:pPr>
                                  <w:r>
                                    <w:rPr>
                                      <w:rFonts w:hint="eastAsia"/>
                                      <w:sz w:val="15"/>
                                      <w:szCs w:val="15"/>
                                      <w:lang w:val="en-US" w:eastAsia="zh-CN"/>
                                    </w:rPr>
                                    <w:t>加速器机房</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110.4pt;margin-top:87.6pt;height:19.65pt;width:41.65pt;z-index:251686912;mso-width-relative:page;mso-height-relative:page;" filled="f" stroked="f" coordsize="21600,21600" o:gfxdata="UEsDBAoAAAAAAIdO4kAAAAAAAAAAAAAAAAAEAAAAZHJzL1BLAwQUAAAACACHTuJAScFgVNgAAAAL&#10;AQAADwAAAGRycy9kb3ducmV2LnhtbE2Py07DMBBF90j8gzVI7Kjt0AIKcbrgsePZFgl2TjwkEX5E&#10;tpOWv2dYwXJ0ru49U60PzrIZYxqCVyAXAhj6NpjBdwp22/uzK2Apa2+0DR4VfGOCdX18VOnShL1/&#10;xXmTO0YlPpVaQZ/zWHKe2h6dToswoif2GaLTmc7YcRP1nsqd5YUQF9zpwdNCr0e86bH92kxOgX1P&#10;8aER+WO+7R7zyzOf3u7kk1KnJ1JcA8t4yH9h+NUndajJqQmTN4lZBUUhSD0TuFwVwChxLpYSWENI&#10;LlfA64r//6H+AVBLAwQUAAAACACHTuJAA3E0rjICAABXBAAADgAAAGRycy9lMm9Eb2MueG1srVTB&#10;jtMwEL0j8Q+W7zRt2a5K1XRVtipCqtiVCuLsOk5jyfYY221SPgD+gNNeuPNd/Q7GTtJFC4c9cHFf&#10;ZsYzfm9mOr9ptCJH4bwEk9PRYEiJMBwKafY5/fRx/WpKiQ/MFEyBETk9CU9vFi9fzGs7E2OoQBXC&#10;EUxi/Ky2Oa1CsLMs87wSmvkBWGHQWYLTLOCn22eFYzVm1yobD4fXWQ2usA648B6tq9ZJu4zuOQmh&#10;LCUXK+AHLUxoszqhWEBKvpLW00V6bVkKHu7K0otAVE6RaUgnFkG8i2e2mLPZ3jFbSd49gT3nCU84&#10;aSYNFr2kWrHAyMHJv1JpyR14KMOAg85aIkkRZDEaPtFmWzErEheU2tuL6P7/peUfjveOyCKn0ytK&#10;DNPY8fOP7+eHX+ef3wjaUKDa+hnGbS1GhuYtNDg2vd2jMfJuSqfjLzIi6Ed5Txd5RRMIR+NkPH0z&#10;mVDC0TW+QjiJWbLHy9b58E6AJhHk1GH3kqjsuPGhDe1DYi0Da6lU6qAypM7p9evJMF24eDC5Mlgj&#10;UmifGlFodk3HawfFCWk5aCfDW76WWHzDfLhnDkcBmeCyhDs8SgVYBDpESQXu67/sMR47hF5Kahyt&#10;nPovB+YEJeq9wd7FOeyB68GuB+agbwGndYRraHmCeMEF1cPSgf6MO7SMVdDFDMdaOQ09vA3tgOMO&#10;crFcpiCcNsvCxmwtj6lb+ZaHAKVMykZZWi06tXDeUm+63YgD/ed3inr8P1j8B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EnBYFTYAAAACwEAAA8AAAAAAAAAAQAgAAAAIgAAAGRycy9kb3ducmV2Lnht&#10;bFBLAQIUABQAAAAIAIdO4kADcTSuMgIAAFcEAAAOAAAAAAAAAAEAIAAAACcBAABkcnMvZTJvRG9j&#10;LnhtbFBLBQYAAAAABgAGAFkBAADLBQAAAAA=&#10;">
                      <v:fill on="f" focussize="0,0"/>
                      <v:stroke on="f" weight="0.5pt"/>
                      <v:imagedata o:title=""/>
                      <o:lock v:ext="edit" aspectratio="f"/>
                      <v:textbox inset="0mm,0mm,0mm,0mm">
                        <w:txbxContent>
                          <w:p>
                            <w:pPr>
                              <w:rPr>
                                <w:rFonts w:hint="default" w:eastAsia="宋体"/>
                                <w:sz w:val="15"/>
                                <w:szCs w:val="15"/>
                                <w:lang w:val="en-US" w:eastAsia="zh-CN"/>
                              </w:rPr>
                            </w:pPr>
                            <w:r>
                              <w:rPr>
                                <w:rFonts w:hint="eastAsia"/>
                                <w:sz w:val="15"/>
                                <w:szCs w:val="15"/>
                                <w:lang w:val="en-US" w:eastAsia="zh-CN"/>
                              </w:rPr>
                              <w:t>加速器机房</w:t>
                            </w:r>
                          </w:p>
                        </w:txbxContent>
                      </v:textbox>
                    </v:shape>
                  </w:pict>
                </mc:Fallback>
              </mc:AlternateContent>
            </w:r>
            <w:r>
              <w:rPr>
                <w:rFonts w:hint="eastAsia" w:ascii="宋体" w:hAnsi="宋体" w:eastAsia="宋体" w:cs="宋体"/>
                <w:color w:val="0000FF"/>
                <w:sz w:val="24"/>
                <w:highlight w:val="none"/>
              </w:rPr>
              <mc:AlternateContent>
                <mc:Choice Requires="wps">
                  <w:drawing>
                    <wp:anchor distT="0" distB="0" distL="114300" distR="114300" simplePos="0" relativeHeight="251685888" behindDoc="0" locked="0" layoutInCell="1" allowOverlap="1">
                      <wp:simplePos x="0" y="0"/>
                      <wp:positionH relativeFrom="column">
                        <wp:posOffset>1887855</wp:posOffset>
                      </wp:positionH>
                      <wp:positionV relativeFrom="paragraph">
                        <wp:posOffset>3114040</wp:posOffset>
                      </wp:positionV>
                      <wp:extent cx="528955" cy="249555"/>
                      <wp:effectExtent l="0" t="0" r="0" b="0"/>
                      <wp:wrapNone/>
                      <wp:docPr id="79" name="文本框 79"/>
                      <wp:cNvGraphicFramePr/>
                      <a:graphic xmlns:a="http://schemas.openxmlformats.org/drawingml/2006/main">
                        <a:graphicData uri="http://schemas.microsoft.com/office/word/2010/wordprocessingShape">
                          <wps:wsp>
                            <wps:cNvSpPr txBox="1"/>
                            <wps:spPr>
                              <a:xfrm>
                                <a:off x="0" y="0"/>
                                <a:ext cx="528955" cy="2495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sz w:val="15"/>
                                      <w:szCs w:val="15"/>
                                      <w:lang w:val="en-US" w:eastAsia="zh-CN"/>
                                    </w:rPr>
                                  </w:pPr>
                                  <w:r>
                                    <w:rPr>
                                      <w:rFonts w:hint="eastAsia"/>
                                      <w:sz w:val="15"/>
                                      <w:szCs w:val="15"/>
                                      <w:lang w:val="en-US" w:eastAsia="zh-CN"/>
                                    </w:rPr>
                                    <w:t>2m</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148.65pt;margin-top:245.2pt;height:19.65pt;width:41.65pt;z-index:251685888;mso-width-relative:page;mso-height-relative:page;" filled="f" stroked="f" coordsize="21600,21600" o:gfxdata="UEsDBAoAAAAAAIdO4kAAAAAAAAAAAAAAAAAEAAAAZHJzL1BLAwQUAAAACACHTuJA6Co25tkAAAAL&#10;AQAADwAAAGRycy9kb3ducmV2LnhtbE2Py07DMBBF90j8gzVI7KidtpQ2ZNIFjx3PAhLsnHhIIuJx&#10;ZDtp+XvMCpaje3TvmWJ7sL2YyIfOMUI2UyCIa2c6bhBeX27P1iBC1Gx075gQvinAtjw+KnRu3J6f&#10;adrFRqQSDrlGaGMccilD3ZLVYeYG4pR9Om91TKdvpPF6n8ptL+dKraTVHaeFVg901VL9tRstQv8e&#10;/F2l4sd03dzHp0c5vt1kD4inJ5m6BBHpEP9g+NVP6lAmp8qNbILoEeabi0VCEZYbtQSRiMVarUBU&#10;COcpA1kW8v8P5Q9QSwMEFAAAAAgAh07iQBLR/UsyAgAAVwQAAA4AAABkcnMvZTJvRG9jLnhtbK1U&#10;wW4TMRC9I/EPlu9kk0BKG2VThUZBSBWtFBBnx2tnLdkeYzvZDR8Af8CJC3e+K9/B2JtNUeHQAxfn&#10;7cx4xu/NTGbXrdFkL3xQYEs6GgwpEZZDpey2pB8/rF5cUhIisxXTYEVJDyLQ6/nzZ7PGTcUYatCV&#10;8AST2DBtXEnrGN20KAKvhWFhAE5YdErwhkX89Nui8qzB7EYX4+HwomjAV84DFyGgddk56Smjf0pC&#10;kFJxsQS+M8LGLqsXmkWkFGrlAp3n10opeLyTMohIdEmRacwnFkG8SWcxn7Hp1jNXK356AnvKEx5x&#10;MkxZLHpOtWSRkZ1Xf6UyinsIIOOAgyk6IlkRZDEaPtJmXTMnMheUOriz6OH/peXv9/eeqKqkr68o&#10;scxgx4/fvx1//Dr+/ErQhgI1Lkwxbu0wMrZvoMWx6e0BjYl3K71Jv8iIoB/lPZzlFW0kHI2T8eXV&#10;ZEIJR9f4FcJJylI8XHY+xLcCDEmgpB67l0Vl+9sQu9A+JNWysFJa5w5qS5qSXrycDPOFsweTa4s1&#10;EoXuqQnFdtOeeG2gOiAtD91kBMdXCovfshDvmcdRQCa4LPEOD6kBi8AJUVKD//Ive4rHDqGXkgZH&#10;q6Th8455QYl+Z7F3aQ574Huw6YHdmRvAaR3hGjqeIV7wUfdQejCfcIcWqQq6mOVYq6SxhzexG3Dc&#10;QS4WixyE0+ZYvLVrx1PqTr7FLoJUWdkkS6fFSS2ct9yb026kgf7zO0c9/B/Mfw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DoKjbm2QAAAAsBAAAPAAAAAAAAAAEAIAAAACIAAABkcnMvZG93bnJldi54&#10;bWxQSwECFAAUAAAACACHTuJAEtH9SzICAABXBAAADgAAAAAAAAABACAAAAAoAQAAZHJzL2Uyb0Rv&#10;Yy54bWxQSwUGAAAAAAYABgBZAQAAzAUAAAAA&#10;">
                      <v:fill on="f" focussize="0,0"/>
                      <v:stroke on="f" weight="0.5pt"/>
                      <v:imagedata o:title=""/>
                      <o:lock v:ext="edit" aspectratio="f"/>
                      <v:textbox inset="0mm,0mm,0mm,0mm">
                        <w:txbxContent>
                          <w:p>
                            <w:pPr>
                              <w:rPr>
                                <w:rFonts w:hint="default" w:eastAsia="宋体"/>
                                <w:sz w:val="15"/>
                                <w:szCs w:val="15"/>
                                <w:lang w:val="en-US" w:eastAsia="zh-CN"/>
                              </w:rPr>
                            </w:pPr>
                            <w:r>
                              <w:rPr>
                                <w:rFonts w:hint="eastAsia"/>
                                <w:sz w:val="15"/>
                                <w:szCs w:val="15"/>
                                <w:lang w:val="en-US" w:eastAsia="zh-CN"/>
                              </w:rPr>
                              <w:t>2m</w:t>
                            </w:r>
                          </w:p>
                        </w:txbxContent>
                      </v:textbox>
                    </v:shape>
                  </w:pict>
                </mc:Fallback>
              </mc:AlternateContent>
            </w:r>
            <w:r>
              <w:rPr>
                <w:rFonts w:hint="eastAsia" w:ascii="宋体" w:hAnsi="宋体" w:eastAsia="宋体" w:cs="宋体"/>
                <w:color w:val="0000FF"/>
                <w:sz w:val="24"/>
                <w:highlight w:val="none"/>
              </w:rPr>
              <mc:AlternateContent>
                <mc:Choice Requires="wps">
                  <w:drawing>
                    <wp:anchor distT="0" distB="0" distL="114300" distR="114300" simplePos="0" relativeHeight="251673600" behindDoc="0" locked="0" layoutInCell="1" allowOverlap="1">
                      <wp:simplePos x="0" y="0"/>
                      <wp:positionH relativeFrom="column">
                        <wp:posOffset>3584575</wp:posOffset>
                      </wp:positionH>
                      <wp:positionV relativeFrom="paragraph">
                        <wp:posOffset>2324735</wp:posOffset>
                      </wp:positionV>
                      <wp:extent cx="528955" cy="249555"/>
                      <wp:effectExtent l="0" t="0" r="0" b="0"/>
                      <wp:wrapNone/>
                      <wp:docPr id="67" name="文本框 67"/>
                      <wp:cNvGraphicFramePr/>
                      <a:graphic xmlns:a="http://schemas.openxmlformats.org/drawingml/2006/main">
                        <a:graphicData uri="http://schemas.microsoft.com/office/word/2010/wordprocessingShape">
                          <wps:wsp>
                            <wps:cNvSpPr txBox="1"/>
                            <wps:spPr>
                              <a:xfrm>
                                <a:off x="0" y="0"/>
                                <a:ext cx="528955" cy="2495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sz w:val="15"/>
                                      <w:szCs w:val="15"/>
                                      <w:lang w:val="en-US" w:eastAsia="zh-CN"/>
                                    </w:rPr>
                                  </w:pPr>
                                  <w:r>
                                    <w:rPr>
                                      <w:rFonts w:hint="eastAsia"/>
                                      <w:sz w:val="15"/>
                                      <w:szCs w:val="15"/>
                                      <w:lang w:val="en-US" w:eastAsia="zh-CN"/>
                                    </w:rPr>
                                    <w:t>走廊</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82.25pt;margin-top:183.05pt;height:19.65pt;width:41.65pt;z-index:251673600;mso-width-relative:page;mso-height-relative:page;" filled="f" stroked="f" coordsize="21600,21600" o:gfxdata="UEsDBAoAAAAAAIdO4kAAAAAAAAAAAAAAAAAEAAAAZHJzL1BLAwQUAAAACACHTuJA3nbXO9kAAAAL&#10;AQAADwAAAGRycy9kb3ducmV2LnhtbE2Pu07EMBBFeyT+wRokOtYOJAaFOFvw6HjuLhJ0TjwkEfE4&#10;sp3s8veYCsrRHN17brU+2JEt6MPgSEG2EsCQWmcG6hTstvdnV8BC1GT06AgVfGOAdX18VOnSuD29&#10;4rKJHUshFEqtoI9xKjkPbY9Wh5WbkNLv03mrYzp9x43X+xRuR34uhORWD5Qaej3hTY/t12a2Csb3&#10;4B8aET+W2+4xvjzz+e0ue1Lq9CQT18AiHuIfDL/6SR3q5NS4mUxgo4JC5kVCFVxImQFLhMwv05hG&#10;QS6KHHhd8f8b6h9QSwMEFAAAAAgAh07iQLdlI6YxAgAAVwQAAA4AAABkcnMvZTJvRG9jLnhtbK1U&#10;wW4TMRC9I/EPlu9k00BKibKpQqsipIpWKoiz4/VmV7I9xnayGz4A/qAnLtz5rnwHz7vZFBUOPXBx&#10;3s6MZ/zezGR+3hrNtsqHmmzOT0ZjzpSVVNR2nfNPH69enHEWorCF0GRVzncq8PPF82fzxs3UhCrS&#10;hfIMSWyYNS7nVYxulmVBVsqIMCKnLJwleSMiPv06K7xokN3obDIen2YN+cJ5kioEWC97Jz9k9E9J&#10;SGVZS3VJcmOUjX1Wr7SIoBSq2gW+6F5blkrGm7IMKjKdczCN3YkiwKt0Zou5mK29cFUtD08QT3nC&#10;I05G1BZFj6kuRRRs4+u/UplaegpUxpEkk/VEOkXA4mT8SJu7SjjVcYHUwR1FD/8vrfywvfWsLnJ+&#10;+pozKww6vr//vv/xa//zG4MNAjUuzBB35xAZ27fUYmwGe4Ax8W5Lb9IvGDH4Ie/uKK9qI5MwTidn&#10;b6ZTziRck1eA05Qle7jsfIjvFBmWQM49uteJKrbXIfahQ0iqZemq1rrroLasAYWX03F34ehBcm1R&#10;I1Hon5pQbFftgdeKih1oeeonIzh5VaP4tQjxVniMAphgWeINjlITitABcVaR//ove4pHh+DlrMFo&#10;5Tx82QivONPvLXqX5nAAfgCrAdiNuSBM6wnW0MkO4oKPeoClJ/MZO7RMVeASVqJWzuMAL2I/4NhB&#10;qZbLLgjT5kS8tndOptS9fMtNpLLulE2y9Foc1MK8db057EYa6D+/u6iH/4PF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N521zvZAAAACwEAAA8AAAAAAAAAAQAgAAAAIgAAAGRycy9kb3ducmV2Lnht&#10;bFBLAQIUABQAAAAIAIdO4kC3ZSOmMQIAAFcEAAAOAAAAAAAAAAEAIAAAACgBAABkcnMvZTJvRG9j&#10;LnhtbFBLBQYAAAAABgAGAFkBAADLBQAAAAA=&#10;">
                      <v:fill on="f" focussize="0,0"/>
                      <v:stroke on="f" weight="0.5pt"/>
                      <v:imagedata o:title=""/>
                      <o:lock v:ext="edit" aspectratio="f"/>
                      <v:textbox inset="0mm,0mm,0mm,0mm">
                        <w:txbxContent>
                          <w:p>
                            <w:pPr>
                              <w:rPr>
                                <w:rFonts w:hint="default" w:eastAsia="宋体"/>
                                <w:sz w:val="15"/>
                                <w:szCs w:val="15"/>
                                <w:lang w:val="en-US" w:eastAsia="zh-CN"/>
                              </w:rPr>
                            </w:pPr>
                            <w:r>
                              <w:rPr>
                                <w:rFonts w:hint="eastAsia"/>
                                <w:sz w:val="15"/>
                                <w:szCs w:val="15"/>
                                <w:lang w:val="en-US" w:eastAsia="zh-CN"/>
                              </w:rPr>
                              <w:t>走廊</w:t>
                            </w:r>
                          </w:p>
                        </w:txbxContent>
                      </v:textbox>
                    </v:shape>
                  </w:pict>
                </mc:Fallback>
              </mc:AlternateContent>
            </w:r>
            <w:r>
              <w:rPr>
                <w:rFonts w:hint="eastAsia" w:ascii="宋体" w:hAnsi="宋体" w:eastAsia="宋体" w:cs="宋体"/>
                <w:b/>
                <w:color w:val="0000FF"/>
                <w:sz w:val="24"/>
                <w:highlight w:val="none"/>
              </w:rPr>
              <mc:AlternateContent>
                <mc:Choice Requires="wps">
                  <w:drawing>
                    <wp:anchor distT="0" distB="0" distL="114300" distR="114300" simplePos="0" relativeHeight="251684864" behindDoc="0" locked="0" layoutInCell="1" allowOverlap="1">
                      <wp:simplePos x="0" y="0"/>
                      <wp:positionH relativeFrom="column">
                        <wp:posOffset>1685925</wp:posOffset>
                      </wp:positionH>
                      <wp:positionV relativeFrom="paragraph">
                        <wp:posOffset>1387475</wp:posOffset>
                      </wp:positionV>
                      <wp:extent cx="431165" cy="2329815"/>
                      <wp:effectExtent l="0" t="0" r="1905" b="10795"/>
                      <wp:wrapNone/>
                      <wp:docPr id="78" name="矩形 75"/>
                      <wp:cNvGraphicFramePr/>
                      <a:graphic xmlns:a="http://schemas.openxmlformats.org/drawingml/2006/main">
                        <a:graphicData uri="http://schemas.microsoft.com/office/word/2010/wordprocessingShape">
                          <wps:wsp>
                            <wps:cNvSpPr/>
                            <wps:spPr>
                              <a:xfrm rot="16200000">
                                <a:off x="0" y="0"/>
                                <a:ext cx="431165" cy="2329815"/>
                              </a:xfrm>
                              <a:prstGeom prst="rect">
                                <a:avLst/>
                              </a:prstGeom>
                              <a:solidFill>
                                <a:srgbClr val="FF0000">
                                  <a:alpha val="50000"/>
                                </a:srgbClr>
                              </a:solidFill>
                              <a:ln>
                                <a:noFill/>
                              </a:ln>
                            </wps:spPr>
                            <wps:txbx>
                              <w:txbxContent>
                                <w:p>
                                  <w:pPr>
                                    <w:jc w:val="center"/>
                                  </w:pPr>
                                </w:p>
                              </w:txbxContent>
                            </wps:txbx>
                            <wps:bodyPr upright="1"/>
                          </wps:wsp>
                        </a:graphicData>
                      </a:graphic>
                    </wp:anchor>
                  </w:drawing>
                </mc:Choice>
                <mc:Fallback>
                  <w:pict>
                    <v:rect id="矩形 75" o:spid="_x0000_s1026" o:spt="1" style="position:absolute;left:0pt;margin-left:132.75pt;margin-top:109.25pt;height:183.45pt;width:33.95pt;rotation:-5898240f;z-index:251684864;mso-width-relative:page;mso-height-relative:page;" fillcolor="#FF0000" filled="t" stroked="f" coordsize="21600,21600" o:gfxdata="UEsDBAoAAAAAAIdO4kAAAAAAAAAAAAAAAAAEAAAAZHJzL1BLAwQUAAAACACHTuJA8gAW1tsAAAAL&#10;AQAADwAAAGRycy9kb3ducmV2LnhtbE2Py07DMBBF90j8gzVIbBC10zQhCnG6QEI8NhUpC5ZOPCQp&#10;fkSxm5a/Z1jB7o7m6M6Zanu2hi04h9E7CclKAEPXeT26XsL7/vG2ABaicloZ71DCNwbY1pcXlSq1&#10;P7k3XJrYMypxoVQShhinkvPQDWhVWPkJHe0+/WxVpHHuuZ7Vicqt4Wshcm7V6OjCoCZ8GLD7ao5W&#10;wvP+sBTdk7nBsRUvzV3/eth95FJeXyXiHljEc/yD4Vef1KEmp9YfnQ7MSFjnWUYohaSgQESaphtg&#10;rYSsyDbA64r//6H+AVBLAwQUAAAACACHTuJAsPAbVM8BAACcAwAADgAAAGRycy9lMm9Eb2MueG1s&#10;rZPPjtMwEMbvSLyD5TtN06Xd3arpHqjKBcFKuzyA6ziJJf/TjNukT4PEjYfgcRCvwdgJhV0ueyAH&#10;yzMe/TzfN87mbrCGnRSg9q7i5WzOmXLS19q1Ff/8uH9zwxlG4WphvFMVPyvkd9vXrzZ9WKuF77yp&#10;FTCCOFz3oeJdjGFdFCg7ZQXOfFCODhsPVkQKoS1qED3RrSkW8/mq6D3UAbxUiJTdjYd8IsJLgL5p&#10;tFQ7L49WuThSQRkRSRJ2OiDf5m6bRsn4qWlQRWYqTkpjXukS2h/SWmw3Yt2CCJ2WUwviJS0802SF&#10;dnTpBbUTUbAj6H9QVkvw6Js4k94Wo5DsCKko58+8eehEUFkLWY3hYjr+P6z8eLoHpuuKX9PcnbA0&#10;8Z9fvv34/pVdL5M7fcA1FT2Ee5gipG2SOjRgGXiytFzRYOnLDpAmNmSDzxeD1RCZpOTbq7JcLTmT&#10;dLS4WtzelPmOYoQlaACM75W3LG0qDjTATBWnDxipASr9XZLK0Rtd77UxOYD28M4AOwka9n5/6UiY&#10;0Ikxu8zJkYNjeWY+4RiXaM4n7liaMkVyYtSednE4DJMhB1+fycRjAN12yY7kWy6noWX89MDSq/g7&#10;zlV/fqrtL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PIAFtbbAAAACwEAAA8AAAAAAAAAAQAgAAAA&#10;IgAAAGRycy9kb3ducmV2LnhtbFBLAQIUABQAAAAIAIdO4kCw8BtUzwEAAJwDAAAOAAAAAAAAAAEA&#10;IAAAACoBAABkcnMvZTJvRG9jLnhtbFBLBQYAAAAABgAGAFkBAABrBQAAAAA=&#10;">
                      <v:fill on="t" opacity="32768f" focussize="0,0"/>
                      <v:stroke on="f"/>
                      <v:imagedata o:title=""/>
                      <o:lock v:ext="edit" aspectratio="f"/>
                      <v:textbox>
                        <w:txbxContent>
                          <w:p>
                            <w:pPr>
                              <w:jc w:val="center"/>
                            </w:pPr>
                          </w:p>
                        </w:txbxContent>
                      </v:textbox>
                    </v:rect>
                  </w:pict>
                </mc:Fallback>
              </mc:AlternateContent>
            </w:r>
            <w:r>
              <w:rPr>
                <w:rFonts w:hint="eastAsia" w:ascii="宋体" w:hAnsi="宋体" w:eastAsia="宋体" w:cs="宋体"/>
                <w:b/>
                <w:color w:val="0000FF"/>
                <w:sz w:val="24"/>
                <w:highlight w:val="none"/>
              </w:rPr>
              <mc:AlternateContent>
                <mc:Choice Requires="wps">
                  <w:drawing>
                    <wp:anchor distT="0" distB="0" distL="114300" distR="114300" simplePos="0" relativeHeight="251683840" behindDoc="0" locked="0" layoutInCell="1" allowOverlap="1">
                      <wp:simplePos x="0" y="0"/>
                      <wp:positionH relativeFrom="column">
                        <wp:posOffset>1501140</wp:posOffset>
                      </wp:positionH>
                      <wp:positionV relativeFrom="paragraph">
                        <wp:posOffset>905510</wp:posOffset>
                      </wp:positionV>
                      <wp:extent cx="465455" cy="1915160"/>
                      <wp:effectExtent l="0" t="0" r="5080" b="6985"/>
                      <wp:wrapNone/>
                      <wp:docPr id="77" name="矩形 75"/>
                      <wp:cNvGraphicFramePr/>
                      <a:graphic xmlns:a="http://schemas.openxmlformats.org/drawingml/2006/main">
                        <a:graphicData uri="http://schemas.microsoft.com/office/word/2010/wordprocessingShape">
                          <wps:wsp>
                            <wps:cNvSpPr/>
                            <wps:spPr>
                              <a:xfrm rot="16200000">
                                <a:off x="0" y="0"/>
                                <a:ext cx="465455" cy="1915160"/>
                              </a:xfrm>
                              <a:prstGeom prst="rect">
                                <a:avLst/>
                              </a:prstGeom>
                              <a:solidFill>
                                <a:srgbClr val="FF0000">
                                  <a:alpha val="50000"/>
                                </a:srgbClr>
                              </a:solidFill>
                              <a:ln>
                                <a:noFill/>
                              </a:ln>
                            </wps:spPr>
                            <wps:txbx>
                              <w:txbxContent>
                                <w:p>
                                  <w:pPr>
                                    <w:jc w:val="center"/>
                                  </w:pPr>
                                </w:p>
                              </w:txbxContent>
                            </wps:txbx>
                            <wps:bodyPr upright="1"/>
                          </wps:wsp>
                        </a:graphicData>
                      </a:graphic>
                    </wp:anchor>
                  </w:drawing>
                </mc:Choice>
                <mc:Fallback>
                  <w:pict>
                    <v:rect id="矩形 75" o:spid="_x0000_s1026" o:spt="1" style="position:absolute;left:0pt;margin-left:118.2pt;margin-top:71.3pt;height:150.8pt;width:36.65pt;rotation:-5898240f;z-index:251683840;mso-width-relative:page;mso-height-relative:page;" fillcolor="#FF0000" filled="t" stroked="f" coordsize="21600,21600" o:gfxdata="UEsDBAoAAAAAAIdO4kAAAAAAAAAAAAAAAAAEAAAAZHJzL1BLAwQUAAAACACHTuJAWH4Wh9sAAAAL&#10;AQAADwAAAGRycy9kb3ducmV2LnhtbE2Py07DMBBF90j8gzVIbBC1m1ppCXG6QEI8NhUpC5ZOPCQp&#10;fkSxm5a/Z1jBcnSP7j1Tbs/OshmnOASvYLkQwNC3wQy+U/C+f7zdAItJe6Nt8KjgGyNsq8uLUhcm&#10;nPwbznXqGJX4WGgFfUpjwXlse3Q6LsKInrLPMDmd6Jw6biZ9onJneSZEzp0ePC30esSHHtuv+ugU&#10;PO8P86Z9sjc4NOKlXnevh91HrtT11VLcA0t4Tn8w/OqTOlTk1ISjN5FZBdkql4RSILMcGBErcbcG&#10;1iiQUmbAq5L//6H6AVBLAwQUAAAACACHTuJA4XTG1s4BAACcAwAADgAAAGRycy9lMm9Eb2MueG1s&#10;rZPPjtMwEMbvSLyD5TtNs9q0EDXdA1W5IFhp2QdwHSex5H+acdv0aZC48RA8DuI1GDuhwHLZAzlY&#10;nvHo5/m+cTZ3ozXspAC1dw0vF0vOlJO+1a5v+OOn/avXnGEUrhXGO9Xwi0J+t335YnMOtbrxgzet&#10;AkYQh/U5NHyIMdRFgXJQVuDCB+XosPNgRaQQ+qIFcSa6NcXNcrkqzh7aAF4qRMrupkM+E+E5QN91&#10;Wqqdl0erXJyooIyIJAkHHZBvc7ddp2T82HWoIjMNJ6Uxr3QJ7Q9pLbYbUfcgwqDl3IJ4TgtPNFmh&#10;HV16Re1EFOwI+h+U1RI8+i4upLfFJCQ7QirK5RNvHgYRVNZCVmO4mo7/Dys/nO6B6bbh6zVnTlia&#10;+I/PX79/+8LWVXLnHLCmoodwD3OEtE1Sxw4sA0+WlisaLH3ZAdLExmzw5WqwGiOTlLxdVbdVxZmk&#10;o/JNWZWrPIFigiVoAIzvlLcsbRoONMBMFaf3GKkBKv1VksrRG93utTE5gP7w1gA7CRr2fn/tSJgw&#10;iClb5eTEwak8M//iGJdozifuVJoyRXJi0p52cTyMsyEH317IxGMA3Q/JjuRbLqehZfz8wNKr+DPO&#10;Vb9/qu1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WH4Wh9sAAAALAQAADwAAAAAAAAABACAAAAAi&#10;AAAAZHJzL2Rvd25yZXYueG1sUEsBAhQAFAAAAAgAh07iQOF0xtbOAQAAnAMAAA4AAAAAAAAAAQAg&#10;AAAAKgEAAGRycy9lMm9Eb2MueG1sUEsFBgAAAAAGAAYAWQEAAGoFAAAAAA==&#10;">
                      <v:fill on="t" opacity="32768f" focussize="0,0"/>
                      <v:stroke on="f"/>
                      <v:imagedata o:title=""/>
                      <o:lock v:ext="edit" aspectratio="f"/>
                      <v:textbox>
                        <w:txbxContent>
                          <w:p>
                            <w:pPr>
                              <w:jc w:val="center"/>
                            </w:pPr>
                          </w:p>
                        </w:txbxContent>
                      </v:textbox>
                    </v:rect>
                  </w:pict>
                </mc:Fallback>
              </mc:AlternateContent>
            </w:r>
            <w:r>
              <w:rPr>
                <w:rFonts w:hint="eastAsia" w:ascii="宋体" w:hAnsi="宋体" w:eastAsia="宋体" w:cs="宋体"/>
              </w:rPr>
              <w:drawing>
                <wp:inline distT="0" distB="0" distL="114300" distR="114300">
                  <wp:extent cx="5538470" cy="3795395"/>
                  <wp:effectExtent l="0" t="0" r="8890" b="14605"/>
                  <wp:docPr id="75"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48"/>
                          <pic:cNvPicPr>
                            <a:picLocks noChangeAspect="1"/>
                          </pic:cNvPicPr>
                        </pic:nvPicPr>
                        <pic:blipFill>
                          <a:blip r:embed="rId17"/>
                          <a:stretch>
                            <a:fillRect/>
                          </a:stretch>
                        </pic:blipFill>
                        <pic:spPr>
                          <a:xfrm>
                            <a:off x="0" y="0"/>
                            <a:ext cx="5538470" cy="3795395"/>
                          </a:xfrm>
                          <a:prstGeom prst="rect">
                            <a:avLst/>
                          </a:prstGeom>
                          <a:noFill/>
                          <a:ln>
                            <a:noFill/>
                          </a:ln>
                        </pic:spPr>
                      </pic:pic>
                    </a:graphicData>
                  </a:graphic>
                </wp:inline>
              </w:drawing>
            </w:r>
            <w:r>
              <w:rPr>
                <w:rFonts w:hint="eastAsia" w:ascii="宋体" w:hAnsi="宋体" w:eastAsia="宋体" w:cs="宋体"/>
                <w:color w:val="0000FF"/>
                <w:sz w:val="24"/>
                <w:highlight w:val="none"/>
              </w:rPr>
              <mc:AlternateContent>
                <mc:Choice Requires="wps">
                  <w:drawing>
                    <wp:anchor distT="0" distB="0" distL="114300" distR="114300" simplePos="0" relativeHeight="251659264" behindDoc="0" locked="0" layoutInCell="1" allowOverlap="1">
                      <wp:simplePos x="0" y="0"/>
                      <wp:positionH relativeFrom="column">
                        <wp:posOffset>1312545</wp:posOffset>
                      </wp:positionH>
                      <wp:positionV relativeFrom="paragraph">
                        <wp:posOffset>521970</wp:posOffset>
                      </wp:positionV>
                      <wp:extent cx="812165" cy="1409065"/>
                      <wp:effectExtent l="0" t="0" r="8255" b="10795"/>
                      <wp:wrapNone/>
                      <wp:docPr id="27" name="矩形 74"/>
                      <wp:cNvGraphicFramePr/>
                      <a:graphic xmlns:a="http://schemas.openxmlformats.org/drawingml/2006/main">
                        <a:graphicData uri="http://schemas.microsoft.com/office/word/2010/wordprocessingShape">
                          <wps:wsp>
                            <wps:cNvSpPr/>
                            <wps:spPr>
                              <a:xfrm rot="16200000">
                                <a:off x="0" y="0"/>
                                <a:ext cx="812165" cy="1409065"/>
                              </a:xfrm>
                              <a:prstGeom prst="rect">
                                <a:avLst/>
                              </a:prstGeom>
                              <a:solidFill>
                                <a:srgbClr val="FF0000">
                                  <a:alpha val="50000"/>
                                </a:srgbClr>
                              </a:solidFill>
                              <a:ln>
                                <a:noFill/>
                              </a:ln>
                            </wps:spPr>
                            <wps:txbx>
                              <w:txbxContent>
                                <w:p>
                                  <w:pPr>
                                    <w:jc w:val="center"/>
                                  </w:pPr>
                                </w:p>
                              </w:txbxContent>
                            </wps:txbx>
                            <wps:bodyPr upright="1"/>
                          </wps:wsp>
                        </a:graphicData>
                      </a:graphic>
                    </wp:anchor>
                  </w:drawing>
                </mc:Choice>
                <mc:Fallback>
                  <w:pict>
                    <v:rect id="矩形 74" o:spid="_x0000_s1026" o:spt="1" style="position:absolute;left:0pt;margin-left:103.35pt;margin-top:41.1pt;height:110.95pt;width:63.95pt;rotation:-5898240f;z-index:251659264;mso-width-relative:page;mso-height-relative:page;" fillcolor="#FF0000" filled="t" stroked="f" coordsize="21600,21600" o:gfxdata="UEsDBAoAAAAAAIdO4kAAAAAAAAAAAAAAAAAEAAAAZHJzL1BLAwQUAAAACACHTuJAHJnzKdoAAAAK&#10;AQAADwAAAGRycy9kb3ducmV2LnhtbE2PTU/DMAyG70j8h8hIXBBL2k1dVZrugIT4uCA6DhzTxrQd&#10;jVM1WTf+PeYEN1t+9Pp5y93ZjWLBOQyeNCQrBQKp9XagTsP7/uE2BxGiIWtGT6jhGwPsqsuL0hTW&#10;n+gNlzp2gkMoFEZDH+NUSBnaHp0JKz8h8e3Tz85EXudO2tmcONyNMlUqk84MxB96M+F9j+1XfXQa&#10;nvaHJW8fxxscGvVcb7uXw+tHpvX1VaLuQEQ8xz8YfvVZHSp2avyRbBCjhlRlW0Y15GkKgoH1epOB&#10;aHhQmwRkVcr/FaofUEsDBBQAAAAIAIdO4kAML4rXzQEAAJwDAAAOAAAAZHJzL2Uyb0RvYy54bWyt&#10;k02O0zAUx/dI3MHyniapZjpD1HQWVGWDYKSBA7iOk1jyl95zm/Q0SOw4BMdBXINnpxSY2cxisoje&#10;l372//+S9d1kDTsqQO1dw6tFyZly0rfa9Q3/8nn35pYzjMK1wninGn5SyO82r1+tx1CrpR+8aRUw&#10;gjisx9DwIcZQFwXKQVmBCx+Uo2bnwYpIKfRFC2IkujXFsixXxeihDeClQqTqdm7yMxGeA/Rdp6Xa&#10;enmwysWZCsqISJJw0AH5Jt+265SMn7oOVWSm4aQ05jcdQvE+vYvNWtQ9iDBoeb6CeM4VHmmyQjs6&#10;9ILaiijYAfQTlNUSPPouLqS3xSwkO0IqqvKRNw+DCCprIasxXEzHl8PKj8d7YLpt+PKGMycsbfzX&#10;1+8/f3xjN1fJnTFgTUMP4R7OGVKYpE4dWAaeLK1WtFh6sgOkiU3Z4NPFYDVFJql4Wy2r1TVnklrV&#10;Vfm2pISoxQxL0AAY3ytvWQoaDrTATBXHDxjn0T8jaRy90e1OG5MT6PfvDLCjoGXvdpcbCRMGMVev&#10;c3Hm4Dyej/+PY1yiOZ+482iqFMmJWXuK4rSfqJnCvW9PZOIhgO6HZEfWlDq0tIw/f2Dpq/g3z9C/&#10;P9Xm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ByZ8ynaAAAACgEAAA8AAAAAAAAAAQAgAAAAIgAA&#10;AGRycy9kb3ducmV2LnhtbFBLAQIUABQAAAAIAIdO4kAML4rXzQEAAJwDAAAOAAAAAAAAAAEAIAAA&#10;ACkBAABkcnMvZTJvRG9jLnhtbFBLBQYAAAAABgAGAFkBAABoBQAAAAA=&#10;">
                      <v:fill on="t" opacity="32768f" focussize="0,0"/>
                      <v:stroke on="f"/>
                      <v:imagedata o:title=""/>
                      <o:lock v:ext="edit" aspectratio="f"/>
                      <v:textbox>
                        <w:txbxContent>
                          <w:p>
                            <w:pPr>
                              <w:jc w:val="center"/>
                            </w:pPr>
                          </w:p>
                        </w:txbxContent>
                      </v:textbox>
                    </v:rect>
                  </w:pict>
                </mc:Fallback>
              </mc:AlternateContent>
            </w:r>
            <w:r>
              <w:rPr>
                <w:rFonts w:hint="eastAsia" w:ascii="宋体" w:hAnsi="宋体" w:eastAsia="宋体" w:cs="宋体"/>
                <w:b/>
                <w:color w:val="0000FF"/>
                <w:sz w:val="24"/>
                <w:highlight w:val="none"/>
              </w:rPr>
              <mc:AlternateContent>
                <mc:Choice Requires="wps">
                  <w:drawing>
                    <wp:anchor distT="0" distB="0" distL="114300" distR="114300" simplePos="0" relativeHeight="251675648" behindDoc="0" locked="0" layoutInCell="1" allowOverlap="1">
                      <wp:simplePos x="0" y="0"/>
                      <wp:positionH relativeFrom="column">
                        <wp:posOffset>1534795</wp:posOffset>
                      </wp:positionH>
                      <wp:positionV relativeFrom="paragraph">
                        <wp:posOffset>-312420</wp:posOffset>
                      </wp:positionV>
                      <wp:extent cx="355600" cy="1915160"/>
                      <wp:effectExtent l="0" t="0" r="5080" b="10160"/>
                      <wp:wrapNone/>
                      <wp:docPr id="37" name="矩形 75"/>
                      <wp:cNvGraphicFramePr/>
                      <a:graphic xmlns:a="http://schemas.openxmlformats.org/drawingml/2006/main">
                        <a:graphicData uri="http://schemas.microsoft.com/office/word/2010/wordprocessingShape">
                          <wps:wsp>
                            <wps:cNvSpPr/>
                            <wps:spPr>
                              <a:xfrm rot="16200000">
                                <a:off x="0" y="0"/>
                                <a:ext cx="355600" cy="1915160"/>
                              </a:xfrm>
                              <a:prstGeom prst="rect">
                                <a:avLst/>
                              </a:prstGeom>
                              <a:solidFill>
                                <a:srgbClr val="FF0000">
                                  <a:alpha val="50000"/>
                                </a:srgbClr>
                              </a:solidFill>
                              <a:ln>
                                <a:noFill/>
                              </a:ln>
                            </wps:spPr>
                            <wps:txbx>
                              <w:txbxContent>
                                <w:p>
                                  <w:pPr>
                                    <w:jc w:val="center"/>
                                  </w:pPr>
                                </w:p>
                              </w:txbxContent>
                            </wps:txbx>
                            <wps:bodyPr upright="1"/>
                          </wps:wsp>
                        </a:graphicData>
                      </a:graphic>
                    </wp:anchor>
                  </w:drawing>
                </mc:Choice>
                <mc:Fallback>
                  <w:pict>
                    <v:rect id="矩形 75" o:spid="_x0000_s1026" o:spt="1" style="position:absolute;left:0pt;margin-left:120.85pt;margin-top:-24.6pt;height:150.8pt;width:28pt;rotation:-5898240f;z-index:251675648;mso-width-relative:page;mso-height-relative:page;" fillcolor="#FF0000" filled="t" stroked="f" coordsize="21600,21600" o:gfxdata="UEsDBAoAAAAAAIdO4kAAAAAAAAAAAAAAAAAEAAAAZHJzL1BLAwQUAAAACACHTuJAKEAQedsAAAAL&#10;AQAADwAAAGRycy9kb3ducmV2LnhtbE2PPU/DMBCGdyT+g3VILKi1Y4WmDXE6ICE+FkTK0NGJr0lK&#10;bEexm5Z/zzHBdh+P3nuu2F7swGacQu+dgmQpgKFrvOldq+Bz97RYAwtRO6MH71DBNwbYltdXhc6N&#10;P7sPnKvYMgpxIdcKuhjHnPPQdGh1WPoRHe0OfrI6Uju13Ez6TOF24FKIFbe6d3Sh0yM+dth8VSer&#10;4GV3nNfN83CHfS1eq6x9O77vV0rd3iTiAVjES/yD4Vef1KEkp9qfnAlsUCDTJCNUwSLdSGBEyE1G&#10;k5qKe5kCLwv+/4fyB1BLAwQUAAAACACHTuJA6slTms4BAACcAwAADgAAAGRycy9lMm9Eb2MueG1s&#10;rZNNbtswEIX3BXoHgvtaVgI5rWA5ixrupmgDpDkATVESAf5hhrbl0xTorofocYpeo0NKdZtkk0W1&#10;EMjhw8d5b6T17WgNOypA7V3Dy8WSM+Wkb7XrG/7wZffmLWcYhWuF8U41/KyQ325ev1qfQq2u/OBN&#10;q4ARxGF9Cg0fYgx1UaAclBW48EE5Ouw8WBFpC33RgjgR3ZriarlcFScPbQAvFSJVt9Mhn4nwEqDv&#10;Oi3V1suDVS5OVFBGRLKEgw7IN7nbrlMyfu46VJGZhpPTmN90Ca336V1s1qLuQYRBy7kF8ZIWnniy&#10;Qju69ILaiijYAfQzlNUSPPouLqS3xWQkJ0IuyuWTbO4HEVT2QlFjuISO/w8rPx3vgOm24dc3nDlh&#10;aeK/vn7/+eMbu6lSOqeANYnuwx3MO6Rlsjp2YBl4irRc0WDpyQmQJzbmgM+XgNUYmaTidVWtSMYk&#10;HZXvyqpc5QkUEyxBA2D8oLxladFwoAFmqjh+xEgNkPSPJMnRG93utDF5A/3+vQF2FDTs3e7SkTBh&#10;EFO1ysWJg5M8Mx9xjEs05xN3kqZKkZKYvKdVHPfjHMjet2cK8RBA90OKI+WW5TS0jJ8/sPRV/LvP&#10;qr8/1eY3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KEAQedsAAAALAQAADwAAAAAAAAABACAAAAAi&#10;AAAAZHJzL2Rvd25yZXYueG1sUEsBAhQAFAAAAAgAh07iQOrJU5rOAQAAnAMAAA4AAAAAAAAAAQAg&#10;AAAAKgEAAGRycy9lMm9Eb2MueG1sUEsFBgAAAAAGAAYAWQEAAGoFAAAAAA==&#10;">
                      <v:fill on="t" opacity="32768f" focussize="0,0"/>
                      <v:stroke on="f"/>
                      <v:imagedata o:title=""/>
                      <o:lock v:ext="edit" aspectratio="f"/>
                      <v:textbox>
                        <w:txbxContent>
                          <w:p>
                            <w:pPr>
                              <w:jc w:val="center"/>
                            </w:pPr>
                          </w:p>
                        </w:txbxContent>
                      </v:textbox>
                    </v:rect>
                  </w:pict>
                </mc:Fallback>
              </mc:AlternateContent>
            </w:r>
            <w:r>
              <w:rPr>
                <w:rFonts w:hint="eastAsia" w:ascii="宋体" w:hAnsi="宋体" w:eastAsia="宋体" w:cs="宋体"/>
                <w:b/>
                <w:color w:val="0000FF"/>
                <w:sz w:val="24"/>
                <w:highlight w:val="none"/>
              </w:rPr>
              <mc:AlternateContent>
                <mc:Choice Requires="wps">
                  <w:drawing>
                    <wp:anchor distT="0" distB="0" distL="114300" distR="114300" simplePos="0" relativeHeight="251682816" behindDoc="0" locked="0" layoutInCell="1" allowOverlap="1">
                      <wp:simplePos x="0" y="0"/>
                      <wp:positionH relativeFrom="column">
                        <wp:posOffset>3402965</wp:posOffset>
                      </wp:positionH>
                      <wp:positionV relativeFrom="paragraph">
                        <wp:posOffset>2741295</wp:posOffset>
                      </wp:positionV>
                      <wp:extent cx="389255" cy="806450"/>
                      <wp:effectExtent l="0" t="0" r="6985" b="1270"/>
                      <wp:wrapNone/>
                      <wp:docPr id="76" name="矩形 76"/>
                      <wp:cNvGraphicFramePr/>
                      <a:graphic xmlns:a="http://schemas.openxmlformats.org/drawingml/2006/main">
                        <a:graphicData uri="http://schemas.microsoft.com/office/word/2010/wordprocessingShape">
                          <wps:wsp>
                            <wps:cNvSpPr/>
                            <wps:spPr>
                              <a:xfrm>
                                <a:off x="0" y="0"/>
                                <a:ext cx="389255" cy="806450"/>
                              </a:xfrm>
                              <a:prstGeom prst="rect">
                                <a:avLst/>
                              </a:prstGeom>
                              <a:solidFill>
                                <a:srgbClr val="FFFF00">
                                  <a:alpha val="50000"/>
                                </a:srgbClr>
                              </a:solidFill>
                              <a:ln>
                                <a:noFill/>
                              </a:ln>
                            </wps:spPr>
                            <wps:txbx>
                              <w:txbxContent>
                                <w:p>
                                  <w:pPr>
                                    <w:jc w:val="center"/>
                                  </w:pPr>
                                </w:p>
                              </w:txbxContent>
                            </wps:txbx>
                            <wps:bodyPr upright="1"/>
                          </wps:wsp>
                        </a:graphicData>
                      </a:graphic>
                    </wp:anchor>
                  </w:drawing>
                </mc:Choice>
                <mc:Fallback>
                  <w:pict>
                    <v:rect id="_x0000_s1026" o:spid="_x0000_s1026" o:spt="1" style="position:absolute;left:0pt;margin-left:267.95pt;margin-top:215.85pt;height:63.5pt;width:30.65pt;z-index:251682816;mso-width-relative:page;mso-height-relative:page;" fillcolor="#FFFF00" filled="t" stroked="f" coordsize="21600,21600" o:gfxdata="UEsDBAoAAAAAAIdO4kAAAAAAAAAAAAAAAAAEAAAAZHJzL1BLAwQUAAAACACHTuJAQk/uJtgAAAAL&#10;AQAADwAAAGRycy9kb3ducmV2LnhtbE2PTVKDQBBG91Z5h6m2yo1lBgJIggxZaHkAYw7QgRZI5geZ&#10;AaKnt12ZXXf1q6/fV+4uRouZRt87qyBeRSDI1q7pbavg8PH2uAHhA9oGtbOk4Js87KrbmxKLxi32&#10;neZ9aAWHWF+ggi6EoZDS1x0Z9Cs3kOXbpxsNBl7HVjYjLhxutFxH0ZM02Fv+0OFALx3V5/1kFDz4&#10;9FXrmNJF45TOyeGUmK8fpe7v4ugZRKBL+IfhT5/VoWKno5ts44VWkCXZllEFaRLnIJjItvkaxJGH&#10;bJODrEp53aH6BVBLAwQUAAAACACHTuJA15xBvMgBAACMAwAADgAAAGRycy9lMm9Eb2MueG1srVPN&#10;jtMwEL4j8Q6W7zRpoaVETfdAVS4IVlp4ANdxEkv+04zbpk+DxI2H4HEQr8HYCd3V7mUP64MzMx5/&#10;M983zuZmsIadFKD2rubzWcmZctI32nU1//5t/2bNGUbhGmG8UzW/KOQ329evNudQqYXvvWkUMAJx&#10;WJ1DzfsYQ1UUKHtlBc58UI4OWw9WRHKhKxoQZ0K3pliU5ao4e2gCeKkQKbobD/mECM8B9G2rpdp5&#10;ebTKxREVlBGRKGGvA/Jt7rZtlYxf2xZVZKbmxDTmnYqQfUh7sd2IqgMRei2nFsRzWnjEyQrtqOgV&#10;aieiYEfQT6CsluDRt3EmvS1GIlkRYjEvH2lz14ugMheSGsNVdHw5WPnldAtMNzV/v+LMCUsT//vj&#10;15/fPxkFSJ1zwIqS7sItTB6SmagOLdj0JRJsyIperoqqITJJwbfrD4vlkjNJR+ty9W6ZFS/uLwfA&#10;+El5y5JRc6CBZR3F6TNGKkip/1NSLfRGN3ttTHagO3w0wE6ChrunVZbjXRN6MUaXJa1Eg3BwTB/t&#10;hzjGJTTnE+6YmiJFYj5yTVYcDsMkwME3FxLtGEB3PTU9zwVSEg0pw08PKr2Ch34Gvf+Jtv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Qk/uJtgAAAALAQAADwAAAAAAAAABACAAAAAiAAAAZHJzL2Rv&#10;d25yZXYueG1sUEsBAhQAFAAAAAgAh07iQNecQbzIAQAAjAMAAA4AAAAAAAAAAQAgAAAAJwEAAGRy&#10;cy9lMm9Eb2MueG1sUEsFBgAAAAAGAAYAWQEAAGEFAAAAAA==&#10;">
                      <v:fill on="t" opacity="32768f" focussize="0,0"/>
                      <v:stroke on="f"/>
                      <v:imagedata o:title=""/>
                      <o:lock v:ext="edit" aspectratio="f"/>
                      <v:textbox>
                        <w:txbxContent>
                          <w:p>
                            <w:pPr>
                              <w:jc w:val="center"/>
                            </w:pPr>
                          </w:p>
                        </w:txbxContent>
                      </v:textbox>
                    </v:rect>
                  </w:pict>
                </mc:Fallback>
              </mc:AlternateContent>
            </w:r>
            <w:r>
              <w:rPr>
                <w:rFonts w:hint="eastAsia" w:ascii="宋体" w:hAnsi="宋体" w:eastAsia="宋体" w:cs="宋体"/>
                <w:b/>
                <w:color w:val="0000FF"/>
                <w:sz w:val="24"/>
                <w:highlight w:val="none"/>
              </w:rPr>
              <mc:AlternateContent>
                <mc:Choice Requires="wps">
                  <w:drawing>
                    <wp:anchor distT="0" distB="0" distL="114300" distR="114300" simplePos="0" relativeHeight="251678720" behindDoc="0" locked="0" layoutInCell="1" allowOverlap="1">
                      <wp:simplePos x="0" y="0"/>
                      <wp:positionH relativeFrom="column">
                        <wp:posOffset>3153410</wp:posOffset>
                      </wp:positionH>
                      <wp:positionV relativeFrom="paragraph">
                        <wp:posOffset>2787015</wp:posOffset>
                      </wp:positionV>
                      <wp:extent cx="192405" cy="276225"/>
                      <wp:effectExtent l="0" t="0" r="5715" b="13335"/>
                      <wp:wrapNone/>
                      <wp:docPr id="68" name="矩形 76"/>
                      <wp:cNvGraphicFramePr/>
                      <a:graphic xmlns:a="http://schemas.openxmlformats.org/drawingml/2006/main">
                        <a:graphicData uri="http://schemas.microsoft.com/office/word/2010/wordprocessingShape">
                          <wps:wsp>
                            <wps:cNvSpPr/>
                            <wps:spPr>
                              <a:xfrm>
                                <a:off x="0" y="0"/>
                                <a:ext cx="192405" cy="276225"/>
                              </a:xfrm>
                              <a:prstGeom prst="rect">
                                <a:avLst/>
                              </a:prstGeom>
                              <a:solidFill>
                                <a:srgbClr val="FFFF00">
                                  <a:alpha val="50000"/>
                                </a:srgbClr>
                              </a:solidFill>
                              <a:ln>
                                <a:noFill/>
                              </a:ln>
                            </wps:spPr>
                            <wps:txbx>
                              <w:txbxContent>
                                <w:p>
                                  <w:pPr>
                                    <w:jc w:val="center"/>
                                  </w:pPr>
                                </w:p>
                              </w:txbxContent>
                            </wps:txbx>
                            <wps:bodyPr upright="1"/>
                          </wps:wsp>
                        </a:graphicData>
                      </a:graphic>
                    </wp:anchor>
                  </w:drawing>
                </mc:Choice>
                <mc:Fallback>
                  <w:pict>
                    <v:rect id="矩形 76" o:spid="_x0000_s1026" o:spt="1" style="position:absolute;left:0pt;margin-left:248.3pt;margin-top:219.45pt;height:21.75pt;width:15.15pt;z-index:251678720;mso-width-relative:page;mso-height-relative:page;" fillcolor="#FFFF00" filled="t" stroked="f" coordsize="21600,21600" o:gfxdata="UEsDBAoAAAAAAIdO4kAAAAAAAAAAAAAAAAAEAAAAZHJzL1BLAwQUAAAACACHTuJAecWVutcAAAAL&#10;AQAADwAAAGRycy9kb3ducmV2LnhtbE2PTU7DMBCF90jcwRokNog6P26UhjhdgDgApQdw4yFJ658Q&#10;O0nh9Awr2L2Z9/Tmm3p/tYYtOIXBOwnpJgGGrvV6cJ2E4/vrYwksROW0Mt6hhC8MsG9ub2pVab+6&#10;N1wOsWNU4kKlJPQxjhXnoe3RqrDxIzryPvxkVaRx6rie1Erl1vAsSQpu1eDoQq9GfO6xvRxmK+Eh&#10;iBdjUhSrUbNY8uM5t5/fUt7fpckTsIjX+BeGX3xCh4aYTn52OjAjQeyKgqIk8nIHjBLbrCBxok2Z&#10;CeBNzf//0PwAUEsDBBQAAAAIAIdO4kDXkzqWxQEAAIwDAAAOAAAAZHJzL2Uyb0RvYy54bWytU82O&#10;0zAQviPxDpbvNGlEuxA13QNVuSBYadkHcB0nseQ/zbht+jRI3HgIHgfxGoyd0IXlsgd8cGbG42/m&#10;+8bZ3I7WsJMC1N41fLkoOVNO+la7vuEPn/ev3nCGUbhWGO9Uwy8K+e325YvNOdSq8oM3rQJGIA7r&#10;c2j4EGOoiwLloKzAhQ/K0WHnwYpILvRFC+JM6NYUVVmui7OHNoCXCpGiu+mQz4jwHEDfdVqqnZdH&#10;q1ycUEEZEYkSDjog3+Zuu07J+KnrUEVmGk5MY96pCNmHtBfbjah7EGHQcm5BPKeFJ5ys0I6KXqF2&#10;Igp2BP0PlNUSPPouLqS3xUQkK0IsluUTbe4HEVTmQlJjuIqO/w9WfjzdAdNtw9c0dycsTfznl28/&#10;vn9lN+ukzjlgTUn34Q5mD8lMVMcObPoSCTZmRS9XRdUYmaTg8m31ulxxJumoullX1SphFo+XA2B8&#10;r7xlyWg40MCyjuL0AeOU+jsl1UJvdLvXxmQH+sM7A+wkaLh7WmU53TVhEFN0VdKaS+KUnsv/hWNc&#10;QnM+4U4lU6RIzCeuyYrjYZwFOPj2QqIdA+h+oKaXuUBKoiFl+PlBpVfwp59BH3+i7S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B5xZW61wAAAAsBAAAPAAAAAAAAAAEAIAAAACIAAABkcnMvZG93bnJl&#10;di54bWxQSwECFAAUAAAACACHTuJA15M6lsUBAACMAwAADgAAAAAAAAABACAAAAAmAQAAZHJzL2Uy&#10;b0RvYy54bWxQSwUGAAAAAAYABgBZAQAAXQUAAAAA&#10;">
                      <v:fill on="t" opacity="32768f" focussize="0,0"/>
                      <v:stroke on="f"/>
                      <v:imagedata o:title=""/>
                      <o:lock v:ext="edit" aspectratio="f"/>
                      <v:textbox>
                        <w:txbxContent>
                          <w:p>
                            <w:pPr>
                              <w:jc w:val="center"/>
                            </w:pPr>
                          </w:p>
                        </w:txbxContent>
                      </v:textbox>
                    </v:rect>
                  </w:pict>
                </mc:Fallback>
              </mc:AlternateContent>
            </w:r>
            <w:r>
              <w:rPr>
                <w:rFonts w:hint="eastAsia" w:ascii="宋体" w:hAnsi="宋体" w:eastAsia="宋体" w:cs="宋体"/>
                <w:b/>
                <w:color w:val="0000FF"/>
                <w:sz w:val="24"/>
                <w:highlight w:val="none"/>
              </w:rPr>
              <mc:AlternateContent>
                <mc:Choice Requires="wps">
                  <w:drawing>
                    <wp:anchor distT="0" distB="0" distL="114300" distR="114300" simplePos="0" relativeHeight="251660288" behindDoc="0" locked="0" layoutInCell="1" allowOverlap="1">
                      <wp:simplePos x="0" y="0"/>
                      <wp:positionH relativeFrom="column">
                        <wp:posOffset>3098165</wp:posOffset>
                      </wp:positionH>
                      <wp:positionV relativeFrom="paragraph">
                        <wp:posOffset>2240915</wp:posOffset>
                      </wp:positionV>
                      <wp:extent cx="2390775" cy="502285"/>
                      <wp:effectExtent l="0" t="0" r="1905" b="635"/>
                      <wp:wrapNone/>
                      <wp:docPr id="29" name="矩形 76"/>
                      <wp:cNvGraphicFramePr/>
                      <a:graphic xmlns:a="http://schemas.openxmlformats.org/drawingml/2006/main">
                        <a:graphicData uri="http://schemas.microsoft.com/office/word/2010/wordprocessingShape">
                          <wps:wsp>
                            <wps:cNvSpPr/>
                            <wps:spPr>
                              <a:xfrm>
                                <a:off x="0" y="0"/>
                                <a:ext cx="2390775" cy="502285"/>
                              </a:xfrm>
                              <a:prstGeom prst="rect">
                                <a:avLst/>
                              </a:prstGeom>
                              <a:solidFill>
                                <a:srgbClr val="FFFF00">
                                  <a:alpha val="50000"/>
                                </a:srgbClr>
                              </a:solidFill>
                              <a:ln>
                                <a:noFill/>
                              </a:ln>
                            </wps:spPr>
                            <wps:txbx>
                              <w:txbxContent>
                                <w:p>
                                  <w:pPr>
                                    <w:jc w:val="center"/>
                                  </w:pPr>
                                </w:p>
                              </w:txbxContent>
                            </wps:txbx>
                            <wps:bodyPr upright="1"/>
                          </wps:wsp>
                        </a:graphicData>
                      </a:graphic>
                    </wp:anchor>
                  </w:drawing>
                </mc:Choice>
                <mc:Fallback>
                  <w:pict>
                    <v:rect id="矩形 76" o:spid="_x0000_s1026" o:spt="1" style="position:absolute;left:0pt;margin-left:243.95pt;margin-top:176.45pt;height:39.55pt;width:188.25pt;z-index:251660288;mso-width-relative:page;mso-height-relative:page;" fillcolor="#FFFF00" filled="t" stroked="f" coordsize="21600,21600" o:gfxdata="UEsDBAoAAAAAAIdO4kAAAAAAAAAAAAAAAAAEAAAAZHJzL1BLAwQUAAAACACHTuJAEqkHO9cAAAAL&#10;AQAADwAAAGRycy9kb3ducmV2LnhtbE2PTU7DMBBG90jcwRokNojaSUwJIU4XIA5A2wO48ZAE/BNi&#10;JymcnmEFuxl9T9+8qXdnZ9mCUxyCV5BtBDD0bTCD7xQcDy+3JbCYtDfaBo8KvjDCrrm8qHVlwupf&#10;cdmnjlGJj5VW0Kc0VpzHtken4yaM6Cl7C5PTidap42bSK5U7y3MhttzpwdOFXo/41GP7sZ+dgpso&#10;n63NUK5Wz3Ipju+F+/xW6voqE4/AEp7THwy/+qQODTmdwuxNZFaBLO8fCFVQ3OU0EFFupQR2oqjI&#10;BfCm5v9/aH4AUEsDBBQAAAAIAIdO4kAR1ef6xwEAAI0DAAAOAAAAZHJzL2Uyb0RvYy54bWytU0tu&#10;2zAQ3RfoHQjua8kqHCeC5SxiuJuiDZDmADRFWQT4wwxty6cp0F0P0eMUvUaHlOq06SaLcEHNDIdv&#10;5r2hVreDNeyoALV3DZ/PSs6Uk77Vbt/wxy/bd9ecYRSuFcY71fCzQn67fvtmdQq1qnzvTauAEYjD&#10;+hQa3scY6qJA2SsrcOaDcnTYebAikgv7ogVxInRriqosr4qThzaAlwqRopvxkE+I8BJA33Vaqo2X&#10;B6tcHFFBGRGJEvY6IF/nbrtOyfi561BFZhpOTGPeqQjZu7QX65Wo9yBCr+XUgnhJC884WaEdFb1A&#10;bUQU7AD6PyirJXj0XZxJb4uRSFaEWMzLZ9o89CKozIWkxnARHV8PVn463gPTbcOrG86csDTxX1+/&#10;//zxjS2vkjqngDUlPYR7mDwkM1EdOrDpSyTYkBU9XxRVQ2SSgtX7m3K5XHAm6WxRVtX1IoEWT7cD&#10;YPygvGXJaDjQxLKQ4vgR45j6JyUVQ290u9XGZAf2uzsD7ChoultaZTneNaEXY3RR0ppK4piey/+D&#10;Y1xCcz7hjiVTpEjUR7LJisNumBTY+fZMqh0C6H1PTc9zgZREU8rw04tKz+BvP4M+/UXr3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BKpBzvXAAAACwEAAA8AAAAAAAAAAQAgAAAAIgAAAGRycy9kb3du&#10;cmV2LnhtbFBLAQIUABQAAAAIAIdO4kAR1ef6xwEAAI0DAAAOAAAAAAAAAAEAIAAAACYBAABkcnMv&#10;ZTJvRG9jLnhtbFBLBQYAAAAABgAGAFkBAABfBQAAAAA=&#10;">
                      <v:fill on="t" opacity="32768f" focussize="0,0"/>
                      <v:stroke on="f"/>
                      <v:imagedata o:title=""/>
                      <o:lock v:ext="edit" aspectratio="f"/>
                      <v:textbox>
                        <w:txbxContent>
                          <w:p>
                            <w:pPr>
                              <w:jc w:val="center"/>
                            </w:pPr>
                          </w:p>
                        </w:txbxContent>
                      </v:textbox>
                    </v:rect>
                  </w:pict>
                </mc:Fallback>
              </mc:AlternateContent>
            </w:r>
            <w:r>
              <w:rPr>
                <w:rFonts w:hint="eastAsia" w:ascii="宋体" w:hAnsi="宋体" w:eastAsia="宋体" w:cs="宋体"/>
                <w:b/>
                <w:color w:val="0000FF"/>
                <w:sz w:val="24"/>
                <w:highlight w:val="none"/>
              </w:rPr>
              <mc:AlternateContent>
                <mc:Choice Requires="wps">
                  <w:drawing>
                    <wp:anchor distT="0" distB="0" distL="114300" distR="114300" simplePos="0" relativeHeight="251676672" behindDoc="0" locked="0" layoutInCell="1" allowOverlap="1">
                      <wp:simplePos x="0" y="0"/>
                      <wp:positionH relativeFrom="column">
                        <wp:posOffset>3068320</wp:posOffset>
                      </wp:positionH>
                      <wp:positionV relativeFrom="paragraph">
                        <wp:posOffset>116205</wp:posOffset>
                      </wp:positionV>
                      <wp:extent cx="233680" cy="2120900"/>
                      <wp:effectExtent l="0" t="0" r="10160" b="12700"/>
                      <wp:wrapNone/>
                      <wp:docPr id="42" name="矩形 76"/>
                      <wp:cNvGraphicFramePr/>
                      <a:graphic xmlns:a="http://schemas.openxmlformats.org/drawingml/2006/main">
                        <a:graphicData uri="http://schemas.microsoft.com/office/word/2010/wordprocessingShape">
                          <wps:wsp>
                            <wps:cNvSpPr/>
                            <wps:spPr>
                              <a:xfrm>
                                <a:off x="0" y="0"/>
                                <a:ext cx="233680" cy="2120900"/>
                              </a:xfrm>
                              <a:prstGeom prst="rect">
                                <a:avLst/>
                              </a:prstGeom>
                              <a:solidFill>
                                <a:srgbClr val="FFFF00">
                                  <a:alpha val="50000"/>
                                </a:srgbClr>
                              </a:solidFill>
                              <a:ln>
                                <a:noFill/>
                              </a:ln>
                            </wps:spPr>
                            <wps:txbx>
                              <w:txbxContent>
                                <w:p>
                                  <w:pPr>
                                    <w:jc w:val="center"/>
                                  </w:pPr>
                                </w:p>
                              </w:txbxContent>
                            </wps:txbx>
                            <wps:bodyPr upright="1"/>
                          </wps:wsp>
                        </a:graphicData>
                      </a:graphic>
                    </wp:anchor>
                  </w:drawing>
                </mc:Choice>
                <mc:Fallback>
                  <w:pict>
                    <v:rect id="矩形 76" o:spid="_x0000_s1026" o:spt="1" style="position:absolute;left:0pt;margin-left:241.6pt;margin-top:9.15pt;height:167pt;width:18.4pt;z-index:251676672;mso-width-relative:page;mso-height-relative:page;" fillcolor="#FFFF00" filled="t" stroked="f" coordsize="21600,21600" o:gfxdata="UEsDBAoAAAAAAIdO4kAAAAAAAAAAAAAAAAAEAAAAZHJzL1BLAwQUAAAACACHTuJAwNlBWdUAAAAK&#10;AQAADwAAAGRycy9kb3ducmV2LnhtbE2PQU7DMBBF90jcwRokNog6idMqSuN0AeIAlB7ATYYkxR6H&#10;2EkKp2dYwXL0n/5/Ux2uzooFpzB40pBuEhBIjW8H6jSc3l4eCxAhGmqN9YQavjDAob69qUzZ+pVe&#10;cTnGTnAJhdJo6GMcSylD06MzYeNHJM7e/eRM5HPqZDuZlcudlVmS7KQzA/FCb0Z86rH5OM5Ow0PI&#10;n61NMV+tmfNFnS7KfX5rfX+XJnsQEa/xD4ZffVaHmp3OfqY2CKshL1TGKAeFAsHAlvdAnDWobaZA&#10;1pX8/0L9A1BLAwQUAAAACACHTuJA3rPwI8kBAACNAwAADgAAAGRycy9lMm9Eb2MueG1srVPNjtMw&#10;EL4j8Q6W7zRpFsoSNd0DVbkgWGnhAVzHSSz5TzNumz4NEjcegsdBvAZjJ3RXu5c9rA/OzHj8zXzf&#10;OOub0Rp2VIDau4YvFyVnyknfatc3/Pu33ZtrzjAK1wrjnWr4WSG/2bx+tT6FWlV+8KZVwAjEYX0K&#10;DR9iDHVRoByUFbjwQTk67DxYEcmFvmhBnAjdmqIqy1Vx8tAG8FIhUnQ7HfIZEZ4D6LtOS7X18mCV&#10;ixMqKCMiUcJBB+Sb3G3XKRm/dh2qyEzDiWnMOxUhe5/2YrMWdQ8iDFrOLYjntPCIkxXaUdEL1FZE&#10;wQ6gn0BZLcGj7+JCeltMRLIixGJZPtLmbhBBZS4kNYaL6PhysPLL8RaYbhv+tuLMCUsT//vj15/f&#10;P9n7VVLnFLCmpLtwC7OHZCaqYwc2fYkEG7Oi54uiaoxMUrC6ulpdk9aSjqplVX4os+TF/e0AGD8p&#10;b1kyGg40sSykOH7GSBUp9X9KKobe6HanjckO9PuPBthR0HR3tAg9xYUJg5ii70paiQfh4JQ+2Q9x&#10;jEu3nE+4U2qKFIn6RDZZcdyPswJ7355JtUMA3Q/U9DIXSEk0pQw/v6j0DB76GfT+L9r8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MDZQVnVAAAACgEAAA8AAAAAAAAAAQAgAAAAIgAAAGRycy9kb3du&#10;cmV2LnhtbFBLAQIUABQAAAAIAIdO4kDes/AjyQEAAI0DAAAOAAAAAAAAAAEAIAAAACQBAABkcnMv&#10;ZTJvRG9jLnhtbFBLBQYAAAAABgAGAFkBAABfBQAAAAA=&#10;">
                      <v:fill on="t" opacity="32768f" focussize="0,0"/>
                      <v:stroke on="f"/>
                      <v:imagedata o:title=""/>
                      <o:lock v:ext="edit" aspectratio="f"/>
                      <v:textbox>
                        <w:txbxContent>
                          <w:p>
                            <w:pPr>
                              <w:jc w:val="center"/>
                            </w:pPr>
                          </w:p>
                        </w:txbxContent>
                      </v:textbox>
                    </v:rect>
                  </w:pict>
                </mc:Fallback>
              </mc:AlternateContent>
            </w:r>
            <w:r>
              <w:rPr>
                <w:rFonts w:hint="eastAsia" w:ascii="宋体" w:hAnsi="宋体" w:eastAsia="宋体" w:cs="宋体"/>
                <w:b/>
                <w:color w:val="0000FF"/>
                <w:sz w:val="24"/>
                <w:highlight w:val="none"/>
              </w:rPr>
              <mc:AlternateContent>
                <mc:Choice Requires="wps">
                  <w:drawing>
                    <wp:anchor distT="0" distB="0" distL="114300" distR="114300" simplePos="0" relativeHeight="251669504" behindDoc="0" locked="0" layoutInCell="1" allowOverlap="1">
                      <wp:simplePos x="0" y="0"/>
                      <wp:positionH relativeFrom="column">
                        <wp:posOffset>129540</wp:posOffset>
                      </wp:positionH>
                      <wp:positionV relativeFrom="paragraph">
                        <wp:posOffset>96520</wp:posOffset>
                      </wp:positionV>
                      <wp:extent cx="275590" cy="3268980"/>
                      <wp:effectExtent l="0" t="0" r="13970" b="7620"/>
                      <wp:wrapNone/>
                      <wp:docPr id="8" name="矩形 146"/>
                      <wp:cNvGraphicFramePr/>
                      <a:graphic xmlns:a="http://schemas.openxmlformats.org/drawingml/2006/main">
                        <a:graphicData uri="http://schemas.microsoft.com/office/word/2010/wordprocessingShape">
                          <wps:wsp>
                            <wps:cNvSpPr/>
                            <wps:spPr>
                              <a:xfrm flipH="1">
                                <a:off x="0" y="0"/>
                                <a:ext cx="275590" cy="3268980"/>
                              </a:xfrm>
                              <a:prstGeom prst="rect">
                                <a:avLst/>
                              </a:prstGeom>
                              <a:solidFill>
                                <a:srgbClr val="FFFF00">
                                  <a:alpha val="50000"/>
                                </a:srgbClr>
                              </a:solidFill>
                              <a:ln>
                                <a:noFill/>
                              </a:ln>
                            </wps:spPr>
                            <wps:txbx>
                              <w:txbxContent>
                                <w:p/>
                              </w:txbxContent>
                            </wps:txbx>
                            <wps:bodyPr upright="1"/>
                          </wps:wsp>
                        </a:graphicData>
                      </a:graphic>
                    </wp:anchor>
                  </w:drawing>
                </mc:Choice>
                <mc:Fallback>
                  <w:pict>
                    <v:rect id="矩形 146" o:spid="_x0000_s1026" o:spt="1" style="position:absolute;left:0pt;flip:x;margin-left:10.2pt;margin-top:7.6pt;height:257.4pt;width:21.7pt;z-index:251669504;mso-width-relative:page;mso-height-relative:page;" fillcolor="#FFFF00" filled="t" stroked="f" coordsize="21600,21600" o:gfxdata="UEsDBAoAAAAAAIdO4kAAAAAAAAAAAAAAAAAEAAAAZHJzL1BLAwQUAAAACACHTuJA6SFGMNYAAAAI&#10;AQAADwAAAGRycy9kb3ducmV2LnhtbE2PzU7DMBCE70i8g7WVuFG7Lo2qEKeHSr0hoRQuvbnxkqSJ&#10;11Hs/vH0LCc47sxo9ptic/ODuOAUu0AGFnMFAqkOrqPGwOfH7nkNIiZLzg6B0MAdI2zKx4fC5i5c&#10;qcLLPjWCSyjm1kCb0phLGesWvY3zMCKx9xUmbxOfUyPdZK9c7geplcqktx3xh9aOuG2x7vdnb2C8&#10;u/fd9+HttO59pntN1dYdKmOeZgv1CiLhLf2F4Ref0aFkpmM4k4tiMKDVCydZX2kQ7GdLXnI0sFoq&#10;BbIs5P8B5Q9QSwMEFAAAAAgAh07iQAY7VS3QAQAAlwMAAA4AAABkcnMvZTJvRG9jLnhtbK2Tz47T&#10;MBDG70i8g+U7TVpo6UZN90BVOCBYaZcHcB07seR/8rht+jRI3HgIHgfxGoztUFbLZQ/4YM3Yk5/9&#10;feNsbkejyUkEUM62dD6rKRGWu07ZvqVfHvav1pRAZLZj2lnR0osAert9+WJz9o1YuMHpTgSCEAvN&#10;2bd0iNE3VQV8EIbBzHlhcVO6YFjENPRVF9gZ6UZXi7peVWcXOh8cFwC4uiubdCKG5wCdlIqLneNH&#10;I2ws1CA0iygJBuWBbvNtpRQ8fpYSRCS6pag05hkPwfiQ5mq7YU0fmB8Un67AnnOFJ5oMUxYPvaJ2&#10;LDJyDOoflFE8OHAyzrgzVRGSHUEV8/qJN/cD8yJrQavBX02H/4fln053gaiupdh2yww2/NfX7z9/&#10;fCPzN6vkztlDg0X3/i5MGWCYpI4yGCK18h/wGWXxKIeM2dvL1VsxRsJxcfF2ubxB1zluvV6s1jfr&#10;bH5VOInnA8T3whmSgpYG7F2mstNHiHg2lv4pSeXgtOr2SuuchP7wTgdyYtjnPY66Lt9qP7Cyuqxx&#10;JEXIgVJe4sccbRPNusQtpWmlSiYU2SmK42GcvDi47oL+HX1Q/YCXnucDUhH2K+Ont5UexOM8Q//+&#10;T9v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6SFGMNYAAAAIAQAADwAAAAAAAAABACAAAAAiAAAA&#10;ZHJzL2Rvd25yZXYueG1sUEsBAhQAFAAAAAgAh07iQAY7VS3QAQAAlwMAAA4AAAAAAAAAAQAgAAAA&#10;JQEAAGRycy9lMm9Eb2MueG1sUEsFBgAAAAAGAAYAWQEAAGcFAAAAAA==&#10;">
                      <v:fill on="t" opacity="32768f" focussize="0,0"/>
                      <v:stroke on="f"/>
                      <v:imagedata o:title=""/>
                      <o:lock v:ext="edit" aspectratio="f"/>
                      <v:textbox>
                        <w:txbxContent>
                          <w:p/>
                        </w:txbxContent>
                      </v:textbox>
                    </v:rect>
                  </w:pict>
                </mc:Fallback>
              </mc:AlternateContent>
            </w:r>
            <w:r>
              <w:rPr>
                <w:rFonts w:hint="eastAsia" w:ascii="宋体" w:hAnsi="宋体" w:eastAsia="宋体" w:cs="宋体"/>
                <w:color w:val="0000FF"/>
                <w:highlight w:val="none"/>
              </w:rPr>
              <w:drawing>
                <wp:anchor distT="0" distB="0" distL="114300" distR="114300" simplePos="0" relativeHeight="251674624" behindDoc="0" locked="0" layoutInCell="1" allowOverlap="1">
                  <wp:simplePos x="0" y="0"/>
                  <wp:positionH relativeFrom="column">
                    <wp:posOffset>4003675</wp:posOffset>
                  </wp:positionH>
                  <wp:positionV relativeFrom="paragraph">
                    <wp:posOffset>87630</wp:posOffset>
                  </wp:positionV>
                  <wp:extent cx="409575" cy="513715"/>
                  <wp:effectExtent l="26035" t="19685" r="36830" b="30480"/>
                  <wp:wrapNone/>
                  <wp:docPr id="138"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91"/>
                          <pic:cNvPicPr>
                            <a:picLocks noChangeAspect="1"/>
                          </pic:cNvPicPr>
                        </pic:nvPicPr>
                        <pic:blipFill>
                          <a:blip r:embed="rId18"/>
                          <a:stretch>
                            <a:fillRect/>
                          </a:stretch>
                        </pic:blipFill>
                        <pic:spPr>
                          <a:xfrm rot="360000">
                            <a:off x="0" y="0"/>
                            <a:ext cx="409575" cy="513715"/>
                          </a:xfrm>
                          <a:prstGeom prst="rect">
                            <a:avLst/>
                          </a:prstGeom>
                          <a:noFill/>
                          <a:ln>
                            <a:noFill/>
                          </a:ln>
                        </pic:spPr>
                      </pic:pic>
                    </a:graphicData>
                  </a:graphic>
                </wp:anchor>
              </w:drawing>
            </w:r>
            <w:r>
              <w:rPr>
                <w:rFonts w:hint="eastAsia" w:ascii="宋体" w:hAnsi="宋体" w:eastAsia="宋体" w:cs="宋体"/>
                <w:b/>
                <w:color w:val="0000FF"/>
                <w:sz w:val="24"/>
                <w:highlight w:val="none"/>
              </w:rPr>
              <mc:AlternateContent>
                <mc:Choice Requires="wps">
                  <w:drawing>
                    <wp:anchor distT="0" distB="0" distL="114300" distR="114300" simplePos="0" relativeHeight="251680768" behindDoc="0" locked="0" layoutInCell="1" allowOverlap="1">
                      <wp:simplePos x="0" y="0"/>
                      <wp:positionH relativeFrom="column">
                        <wp:posOffset>366395</wp:posOffset>
                      </wp:positionH>
                      <wp:positionV relativeFrom="paragraph">
                        <wp:posOffset>3056890</wp:posOffset>
                      </wp:positionV>
                      <wp:extent cx="2974975" cy="286385"/>
                      <wp:effectExtent l="0" t="0" r="12065" b="3175"/>
                      <wp:wrapNone/>
                      <wp:docPr id="80" name="矩形 146"/>
                      <wp:cNvGraphicFramePr/>
                      <a:graphic xmlns:a="http://schemas.openxmlformats.org/drawingml/2006/main">
                        <a:graphicData uri="http://schemas.microsoft.com/office/word/2010/wordprocessingShape">
                          <wps:wsp>
                            <wps:cNvSpPr/>
                            <wps:spPr>
                              <a:xfrm>
                                <a:off x="0" y="0"/>
                                <a:ext cx="2974975" cy="286385"/>
                              </a:xfrm>
                              <a:prstGeom prst="rect">
                                <a:avLst/>
                              </a:prstGeom>
                              <a:solidFill>
                                <a:srgbClr val="FFFF00">
                                  <a:alpha val="50000"/>
                                </a:srgbClr>
                              </a:solidFill>
                              <a:ln>
                                <a:noFill/>
                              </a:ln>
                            </wps:spPr>
                            <wps:txbx>
                              <w:txbxContent>
                                <w:p>
                                  <w:pPr>
                                    <w:jc w:val="center"/>
                                  </w:pPr>
                                </w:p>
                              </w:txbxContent>
                            </wps:txbx>
                            <wps:bodyPr upright="1"/>
                          </wps:wsp>
                        </a:graphicData>
                      </a:graphic>
                    </wp:anchor>
                  </w:drawing>
                </mc:Choice>
                <mc:Fallback>
                  <w:pict>
                    <v:rect id="矩形 146" o:spid="_x0000_s1026" o:spt="1" style="position:absolute;left:0pt;margin-left:28.85pt;margin-top:240.7pt;height:22.55pt;width:234.25pt;z-index:251680768;mso-width-relative:page;mso-height-relative:page;" fillcolor="#FFFF00" filled="t" stroked="f" coordsize="21600,21600" o:gfxdata="UEsDBAoAAAAAAIdO4kAAAAAAAAAAAAAAAAAEAAAAZHJzL1BLAwQUAAAACACHTuJAzKTjedYAAAAK&#10;AQAADwAAAGRycy9kb3ducmV2LnhtbE2PQU7DMBBF90jcwRokNog6SZO2CnG6AHEASg8wjYckYI9D&#10;7CSF02PY0N2M5unP+9X+bI2YafS9YwXpKgFB3Djdc6vg+Pp8vwPhA7JG45gUfJGHfX19VWGp3cIv&#10;NB9CK2II+xIVdCEMpZS+6ciiX7mBON7e3GgxxHVspR5xieHWyCxJNtJiz/FDhwM9dtR8HCar4M7n&#10;T8aklC8Gp3xeH9/X9vNbqdubNHkAEegc/mH41Y/qUEenk5tYe2EUFNttJBXkuzQHEYEi22QgTn9D&#10;AbKu5GWF+gdQSwMEFAAAAAgAh07iQB90WunJAQAAjgMAAA4AAABkcnMvZTJvRG9jLnhtbK1TS27b&#10;MBDdF+gdCO5ryW7sOIblLGq4m6INkPQANEVJBPjDDG3LpynQXQ/R4xS9RoeU6rTJJotwQc0Mh2/m&#10;vaHWt7017KgAtXcVn05KzpSTvtaurfjXh927JWcYhauF8U5V/KyQ327evlmfwkrNfOdNrYARiMPV&#10;KVS8izGsigJlp6zAiQ/K0WHjwYpILrRFDeJE6NYUs7JcFCcPdQAvFSJFt8MhHxHhJYC+abRUWy8P&#10;Vrk4oIIyIhIl7HRAvsndNo2S8UvToIrMVJyYxrxTEbL3aS82a7FqQYROy7EF8ZIWnnCyQjsqeoHa&#10;iijYAfQzKKslePRNnEhvi4FIVoRYTMsn2tx3IqjMhaTGcBEdXw9Wfj7eAdN1xZckiROWJv77249f&#10;P7+z6dUiyXMKuKKs+3AHo4dkJq59AzZ9iQXrs6Tni6Sqj0xScHZzfXVzPedM0tlsuXi/nCfQ4vF2&#10;AIwflbcsGRUHGllWUhw/YRxS/6akYuiNrnfamOxAu/9ggB0FjXdHqyyHuyZ0YojOS1pjSRzSc/n/&#10;cIxLaM4n3KFkihSJ+kA2WbHf96MCe1+fSbZDAN121PQ0F0hJNKYMPz6p9A7+9TPo42+0+Q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DMpON51gAAAAoBAAAPAAAAAAAAAAEAIAAAACIAAABkcnMvZG93&#10;bnJldi54bWxQSwECFAAUAAAACACHTuJAH3Ra6ckBAACOAwAADgAAAAAAAAABACAAAAAlAQAAZHJz&#10;L2Uyb0RvYy54bWxQSwUGAAAAAAYABgBZAQAAYAUAAAAA&#10;">
                      <v:fill on="t" opacity="32768f" focussize="0,0"/>
                      <v:stroke on="f"/>
                      <v:imagedata o:title=""/>
                      <o:lock v:ext="edit" aspectratio="f"/>
                      <v:textbox>
                        <w:txbxContent>
                          <w:p>
                            <w:pPr>
                              <w:jc w:val="center"/>
                            </w:pPr>
                          </w:p>
                        </w:txbxContent>
                      </v:textbox>
                    </v:rect>
                  </w:pict>
                </mc:Fallback>
              </mc:AlternateContent>
            </w:r>
            <w:r>
              <w:rPr>
                <w:rFonts w:hint="eastAsia" w:ascii="宋体" w:hAnsi="宋体" w:eastAsia="宋体" w:cs="宋体"/>
                <w:color w:val="0000FF"/>
                <w:sz w:val="24"/>
                <w:highlight w:val="none"/>
              </w:rPr>
              <mc:AlternateContent>
                <mc:Choice Requires="wps">
                  <w:drawing>
                    <wp:anchor distT="0" distB="0" distL="114300" distR="114300" simplePos="0" relativeHeight="251671552" behindDoc="0" locked="0" layoutInCell="1" allowOverlap="1">
                      <wp:simplePos x="0" y="0"/>
                      <wp:positionH relativeFrom="column">
                        <wp:posOffset>3372485</wp:posOffset>
                      </wp:positionH>
                      <wp:positionV relativeFrom="paragraph">
                        <wp:posOffset>2741930</wp:posOffset>
                      </wp:positionV>
                      <wp:extent cx="414655" cy="356235"/>
                      <wp:effectExtent l="0" t="0" r="0" b="0"/>
                      <wp:wrapNone/>
                      <wp:docPr id="47" name="文本框 47"/>
                      <wp:cNvGraphicFramePr/>
                      <a:graphic xmlns:a="http://schemas.openxmlformats.org/drawingml/2006/main">
                        <a:graphicData uri="http://schemas.microsoft.com/office/word/2010/wordprocessingShape">
                          <wps:wsp>
                            <wps:cNvSpPr txBox="1"/>
                            <wps:spPr>
                              <a:xfrm>
                                <a:off x="2221865" y="2034540"/>
                                <a:ext cx="414655" cy="3562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sz w:val="15"/>
                                      <w:szCs w:val="15"/>
                                      <w:lang w:val="en-US" w:eastAsia="zh-CN"/>
                                    </w:rPr>
                                  </w:pPr>
                                  <w:r>
                                    <w:rPr>
                                      <w:rFonts w:hint="eastAsia"/>
                                      <w:sz w:val="15"/>
                                      <w:szCs w:val="15"/>
                                      <w:lang w:val="en-US" w:eastAsia="zh-CN"/>
                                    </w:rPr>
                                    <w:t>设备机房</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65.55pt;margin-top:215.9pt;height:28.05pt;width:32.65pt;z-index:251671552;mso-width-relative:page;mso-height-relative:page;" filled="f" stroked="f" coordsize="21600,21600" o:gfxdata="UEsDBAoAAAAAAIdO4kAAAAAAAAAAAAAAAAAEAAAAZHJzL1BLAwQUAAAACACHTuJAvpQgitkAAAAL&#10;AQAADwAAAGRycy9kb3ducmV2LnhtbE2Py07DMBBF90j8gzVI7Kht+qANcbrgseNZQIKdEw9JhB+R&#10;7aTl7xlWsJyZozvnltuDs2zCmPrgFciZAIa+Cab3rYLXl9uzNbCUtTfaBo8KvjHBtjo+KnVhwt4/&#10;47TLLaMQnwqtoMt5KDhPTYdOp1kY0NPtM0SnM42x5SbqPYU7y8+FWHGne08fOj3gVYfN1250Cux7&#10;ine1yB/TdXufnx75+HYjH5Q6PZHiEljGQ/6D4Vef1KEipzqM3iRmFSznUhKqYDGX1IGI5Wa1AFbT&#10;Zn2xAV6V/H+H6gdQSwMEFAAAAAgAh07iQBi1/aA+AgAAYwQAAA4AAABkcnMvZTJvRG9jLnhtbK1U&#10;zY7TMBC+I/EOlu80adqUVdV0VbYqQqrYlQri7DpOE8n2GNttUh4A3oATF+48V5+DcX66aOGwBy7O&#10;F8/kG883n7O4bZQkJ2FdBTqj41FMidAc8kofMvrxw+bVDSXOM50zCVpk9CwcvV2+fLGozVwkUILM&#10;hSVIot28NhktvTfzKHK8FIq5ERihMViAVczjqz1EuWU1sisZJXE8i2qwubHAhXO4u+6CtGe0zyGE&#10;oqi4WAM/KqF9x2qFZB5bcmVlHF22py0Kwf19UTjhicwodurbFYsg3oc1Wi7Y/GCZKSveH4E95whP&#10;elKs0lj0SrVmnpGjrf6iUhW34KDwIw4q6hppFcEuxvETbXYlM6LtBaV25iq6+3+0/P3pwZIqz+j0&#10;NSWaKZz45fu3y49fl59fCe6hQLVxc8zbGcz0zRto0DbDvsPN0HdTWBWe2BHBeJIk45tZSskZcTyZ&#10;ptNeatF4wjFhOp7OUoxzTJiks2SSBsbokchY598KUCSAjFqcZCswO22d71KHlFBXw6aSsp2m1KTO&#10;6GySxu0H1wiSS401QjvdsQPyzb7pe9xDfsYWLXQucYZvKiy+Zc4/MIu2QNPgxfH3uBQSsAj0iJIS&#10;7Jd/7Yd8nBZGKanRZhl1n4/MCkrkO41zDJ4cgB3AfgD6qO4AnTvGK2l4C/ED6+UACwvqE96nVaiC&#10;IaY51sqoH+Cd78yO95GL1apNQucZ5rd6Z3ig7uRbHT0UVatskKXTolcLvdfOpr8nwdx/vrdZj/+G&#10;5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lCCK2QAAAAsBAAAPAAAAAAAAAAEAIAAAACIAAABk&#10;cnMvZG93bnJldi54bWxQSwECFAAUAAAACACHTuJAGLX9oD4CAABjBAAADgAAAAAAAAABACAAAAAo&#10;AQAAZHJzL2Uyb0RvYy54bWxQSwUGAAAAAAYABgBZAQAA2AUAAAAA&#10;">
                      <v:fill on="f" focussize="0,0"/>
                      <v:stroke on="f" weight="0.5pt"/>
                      <v:imagedata o:title=""/>
                      <o:lock v:ext="edit" aspectratio="f"/>
                      <v:textbox inset="0mm,0mm,0mm,0mm">
                        <w:txbxContent>
                          <w:p>
                            <w:pPr>
                              <w:rPr>
                                <w:rFonts w:hint="default" w:eastAsia="宋体"/>
                                <w:sz w:val="15"/>
                                <w:szCs w:val="15"/>
                                <w:lang w:val="en-US" w:eastAsia="zh-CN"/>
                              </w:rPr>
                            </w:pPr>
                            <w:r>
                              <w:rPr>
                                <w:rFonts w:hint="eastAsia"/>
                                <w:sz w:val="15"/>
                                <w:szCs w:val="15"/>
                                <w:lang w:val="en-US" w:eastAsia="zh-CN"/>
                              </w:rPr>
                              <w:t>设备机房</w:t>
                            </w:r>
                          </w:p>
                        </w:txbxContent>
                      </v:textbox>
                    </v:shape>
                  </w:pict>
                </mc:Fallback>
              </mc:AlternateContent>
            </w:r>
            <w:r>
              <w:rPr>
                <w:rFonts w:hint="eastAsia" w:ascii="宋体" w:hAnsi="宋体" w:eastAsia="宋体" w:cs="宋体"/>
                <w:color w:val="0000FF"/>
                <w:sz w:val="24"/>
                <w:highlight w:val="none"/>
              </w:rPr>
              <mc:AlternateContent>
                <mc:Choice Requires="wps">
                  <w:drawing>
                    <wp:anchor distT="0" distB="0" distL="114300" distR="114300" simplePos="0" relativeHeight="251672576" behindDoc="0" locked="0" layoutInCell="1" allowOverlap="1">
                      <wp:simplePos x="0" y="0"/>
                      <wp:positionH relativeFrom="column">
                        <wp:posOffset>3387090</wp:posOffset>
                      </wp:positionH>
                      <wp:positionV relativeFrom="paragraph">
                        <wp:posOffset>3239135</wp:posOffset>
                      </wp:positionV>
                      <wp:extent cx="416560" cy="249555"/>
                      <wp:effectExtent l="0" t="0" r="0" b="0"/>
                      <wp:wrapNone/>
                      <wp:docPr id="52" name="文本框 52"/>
                      <wp:cNvGraphicFramePr/>
                      <a:graphic xmlns:a="http://schemas.openxmlformats.org/drawingml/2006/main">
                        <a:graphicData uri="http://schemas.microsoft.com/office/word/2010/wordprocessingShape">
                          <wps:wsp>
                            <wps:cNvSpPr txBox="1"/>
                            <wps:spPr>
                              <a:xfrm>
                                <a:off x="0" y="0"/>
                                <a:ext cx="416560" cy="2495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sz w:val="15"/>
                                      <w:szCs w:val="15"/>
                                      <w:lang w:val="en-US" w:eastAsia="zh-CN"/>
                                    </w:rPr>
                                  </w:pPr>
                                  <w:r>
                                    <w:rPr>
                                      <w:rFonts w:hint="eastAsia"/>
                                      <w:sz w:val="15"/>
                                      <w:szCs w:val="15"/>
                                      <w:lang w:val="en-US" w:eastAsia="zh-CN"/>
                                    </w:rPr>
                                    <w:t>水冷机房</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66.7pt;margin-top:255.05pt;height:19.65pt;width:32.8pt;z-index:251672576;mso-width-relative:page;mso-height-relative:page;" filled="f" stroked="f" coordsize="21600,21600" o:gfxdata="UEsDBAoAAAAAAIdO4kAAAAAAAAAAAAAAAAAEAAAAZHJzL1BLAwQUAAAACACHTuJAQjlZtNkAAAAL&#10;AQAADwAAAGRycy9kb3ducmV2LnhtbE2PzU7DMBCE70i8g7VI3KhtmqImxOmBnxtQaEGCmxObJCJe&#10;R7aTlrdnOcFtRvtpdqbcHN3AZhti71GBXAhgFhtvemwVvO7vL9bAYtJo9ODRKvi2ETbV6UmpC+MP&#10;+GLnXWoZhWAstIIupbHgPDaddTou/GiRbp8+OJ3IhpaboA8U7gZ+KcQVd7pH+tDp0d50tvnaTU7B&#10;8B7DQy3Sx3zbPqbnLZ/e7uSTUudnUlwDS/aY/mD4rU/VoaJOtZ/QRDYoWC2XGaEkpJDAiFjlOa2r&#10;SWR5Brwq+f8N1Q9QSwMEFAAAAAgAh07iQNemsjcyAgAAVwQAAA4AAABkcnMvZTJvRG9jLnhtbK1U&#10;wW4TMRC9I/EPlu90k9BEEGVThUZFSBWtFBBnx+vNrmR7jO10t3wA/AEnLtz5rnwHz7vZFBUOPXBx&#10;ZmfGb/zezGRx0RrN7pQPNdmcj89GnCkrqajtLucfP1y9eMVZiMIWQpNVOb9XgV8snz9bNG6uJlSR&#10;LpRnALFh3ricVzG6eZYFWSkjwhk5ZREsyRsR8el3WeFFA3Sjs8loNMsa8oXzJFUI8K77ID8i+qcA&#10;UlnWUq1J7o2ysUf1SosISqGqXeDL7rVlqWS8KcugItM5B9PYnSgCe5vObLkQ850Xrqrl8QniKU94&#10;xMmI2qLoCWotomB7X/8FZWrpKVAZzySZrCfSKQIW49EjbTaVcKrjAqmDO4ke/h+sfH9361ld5Hw6&#10;4cwKg44fvn87/Ph1+PmVwQeBGhfmyNs4ZMb2DbUYm8Ef4Ey829Kb9AtGDHHIe3+SV7WRSTjPx7Pp&#10;DBGJ0OT89XQ6TSjZw2XnQ3yryLBk5Nyje52o4u46xD51SEm1LF3VWncd1JY1OZ+9nI66C6cIwLVF&#10;jUShf2qyYrttj7y2VNyDlqd+MoKTVzWKX4sQb4XHKOC9WJZ4g6PUhCJ0tDiryH/5lz/lo0OIctZg&#10;tHIePu+FV5zpdxa9A2QcDD8Y28Gwe3NJmNYx1tDJzsQFH/Vglp7MJ+zQKlVBSFiJWjmPg3kZ+wHH&#10;Dkq1WnVJmDYn4rXdOJmge/lW+0hl3SmbZOm1OKqFeet6c9yNNNB/fndZD/8Hy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BCOVm02QAAAAsBAAAPAAAAAAAAAAEAIAAAACIAAABkcnMvZG93bnJldi54&#10;bWxQSwECFAAUAAAACACHTuJA16ayNzICAABXBAAADgAAAAAAAAABACAAAAAoAQAAZHJzL2Uyb0Rv&#10;Yy54bWxQSwUGAAAAAAYABgBZAQAAzAUAAAAA&#10;">
                      <v:fill on="f" focussize="0,0"/>
                      <v:stroke on="f" weight="0.5pt"/>
                      <v:imagedata o:title=""/>
                      <o:lock v:ext="edit" aspectratio="f"/>
                      <v:textbox inset="0mm,0mm,0mm,0mm">
                        <w:txbxContent>
                          <w:p>
                            <w:pPr>
                              <w:rPr>
                                <w:rFonts w:hint="default" w:eastAsia="宋体"/>
                                <w:sz w:val="15"/>
                                <w:szCs w:val="15"/>
                                <w:lang w:val="en-US" w:eastAsia="zh-CN"/>
                              </w:rPr>
                            </w:pPr>
                            <w:r>
                              <w:rPr>
                                <w:rFonts w:hint="eastAsia"/>
                                <w:sz w:val="15"/>
                                <w:szCs w:val="15"/>
                                <w:lang w:val="en-US" w:eastAsia="zh-CN"/>
                              </w:rPr>
                              <w:t>水冷机房</w:t>
                            </w:r>
                          </w:p>
                        </w:txbxContent>
                      </v:textbox>
                    </v:shape>
                  </w:pict>
                </mc:Fallback>
              </mc:AlternateContent>
            </w:r>
            <w:r>
              <w:rPr>
                <w:rFonts w:hint="eastAsia" w:ascii="宋体" w:hAnsi="宋体" w:eastAsia="宋体" w:cs="宋体"/>
                <w:color w:val="0000FF"/>
                <w:sz w:val="24"/>
              </w:rPr>
              <mc:AlternateContent>
                <mc:Choice Requires="wps">
                  <w:drawing>
                    <wp:anchor distT="0" distB="0" distL="114300" distR="114300" simplePos="0" relativeHeight="251681792" behindDoc="0" locked="0" layoutInCell="1" allowOverlap="1">
                      <wp:simplePos x="0" y="0"/>
                      <wp:positionH relativeFrom="column">
                        <wp:posOffset>1854200</wp:posOffset>
                      </wp:positionH>
                      <wp:positionV relativeFrom="paragraph">
                        <wp:posOffset>3056890</wp:posOffset>
                      </wp:positionV>
                      <wp:extent cx="0" cy="286385"/>
                      <wp:effectExtent l="38100" t="0" r="38100" b="3175"/>
                      <wp:wrapNone/>
                      <wp:docPr id="69" name="直接箭头连接符 69"/>
                      <wp:cNvGraphicFramePr/>
                      <a:graphic xmlns:a="http://schemas.openxmlformats.org/drawingml/2006/main">
                        <a:graphicData uri="http://schemas.microsoft.com/office/word/2010/wordprocessingShape">
                          <wps:wsp>
                            <wps:cNvCnPr>
                              <a:stCxn id="80" idx="2"/>
                              <a:endCxn id="80" idx="0"/>
                            </wps:cNvCnPr>
                            <wps:spPr>
                              <a:xfrm flipV="1">
                                <a:off x="3382645" y="3564255"/>
                                <a:ext cx="0" cy="286385"/>
                              </a:xfrm>
                              <a:prstGeom prst="straightConnector1">
                                <a:avLst/>
                              </a:prstGeom>
                              <a:ln>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146pt;margin-top:240.7pt;height:22.55pt;width:0pt;z-index:251681792;mso-width-relative:page;mso-height-relative:page;" filled="f" stroked="t" coordsize="21600,21600" o:gfxdata="UEsDBAoAAAAAAIdO4kAAAAAAAAAAAAAAAAAEAAAAZHJzL1BLAwQUAAAACACHTuJAfK5TMNsAAAAL&#10;AQAADwAAAGRycy9kb3ducmV2LnhtbE2PzU7DMBCE70i8g7VIXBB1ErUhDdlUFYJLD0htkbi68ZJE&#10;2Osodn/I02PEAY6zM5r9plpdrBEnGn3vGCGdJSCIG6d7bhHe9i/3BQgfFGtlHBPCF3lY1ddXlSq1&#10;O/OWTrvQiljCvlQIXQhDKaVvOrLKz9xAHL0PN1oVohxbqUd1juXWyCxJcmlVz/FDpwZ66qj53B0t&#10;QrF+N9N+vXyQfbqx9nlzN035K+LtTZo8ggh0CX9h+MGP6FBHpoM7svbCIGTLLG4JCPMinYOIid/L&#10;AWGR5QuQdSX/b6i/AVBLAwQUAAAACACHTuJAo1Oncy8CAAA/BAAADgAAAGRycy9lMm9Eb2MueG1s&#10;rVPLbhMxFN0j8Q+W92TSSROlo0y6SAgbBJF47G9sz4wlv2S7efwEP4DEClgBq+75GiifwbUntLRl&#10;0QWzsK7n+p5zz/H17HyvFdkKH6Q1NT0ZDCkRhlkuTVvTN69XT6aUhAiGg7JG1PQgAj2fP34027lK&#10;lLazigtPEMSEaudq2sXoqqIIrBMawsA6YTDZWK8h4ta3BfewQ3StinI4nBQ767nzlokQ8O+yT9Ij&#10;on8IoG0aycTSsgstTOxRvVAQUVLopAt0nrttGsHiy6YJIhJVU1Qa84okGG/SWsxnULUeXCfZsQV4&#10;SAt3NGmQBkmvoZYQgVx4eQ9KS+ZtsE0cMKuLXkh2BFWcDO9486oDJ7IWtDq4a9PD/4NlL7ZrTySv&#10;6eSMEgMab/zq/eXPd5+uvn398fHy1/cPKf7ymWAezdq5UGHNwqx9khviYm9y+RQdlXxf07L3VBh+&#10;L5XtLm5BpE1wPdi+8Zo0Srq3OJfZTfSHIORoNC0np2NKDhiPJ6fleHwk2UfC8AByM8yV08lomlMF&#10;VAktteh8iM+E1SQFNQ3Rg2y7uLDG4HRY3zPB9nmIqA8L/xSkYmNXUqk8JMqQXU3PxiX2wQAHv8GB&#10;w1A7NC+YlhJQLb4oFn3uPVglearOPvl2s1CebAHncLUa4pcUINutY4l6CaHrz+VUL7QTwJ8aTuLB&#10;4QVFL8G0SvS5CFL9O4fwyiDLjckp2lh+WPvEnnY4V7mP4xtIg/v3Pp+6effz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HyuUzDbAAAACwEAAA8AAAAAAAAAAQAgAAAAIgAAAGRycy9kb3ducmV2Lnht&#10;bFBLAQIUABQAAAAIAIdO4kCjU6dzLwIAAD8EAAAOAAAAAAAAAAEAIAAAACoBAABkcnMvZTJvRG9j&#10;LnhtbFBLBQYAAAAABgAGAFkBAADLBQAAAAA=&#10;">
                      <v:fill on="f" focussize="0,0"/>
                      <v:stroke color="#FF0000 [3204]" joinstyle="round" startarrow="block" endarrow="block"/>
                      <v:imagedata o:title=""/>
                      <o:lock v:ext="edit" aspectratio="f"/>
                    </v:shape>
                  </w:pict>
                </mc:Fallback>
              </mc:AlternateContent>
            </w:r>
            <w:r>
              <w:rPr>
                <w:rFonts w:hint="eastAsia" w:ascii="宋体" w:hAnsi="宋体" w:eastAsia="宋体" w:cs="宋体"/>
                <w:b/>
                <w:color w:val="0000FF"/>
                <w:sz w:val="24"/>
                <w:highlight w:val="none"/>
              </w:rPr>
              <mc:AlternateContent>
                <mc:Choice Requires="wps">
                  <w:drawing>
                    <wp:anchor distT="0" distB="0" distL="114300" distR="114300" simplePos="0" relativeHeight="251677696" behindDoc="0" locked="0" layoutInCell="1" allowOverlap="1">
                      <wp:simplePos x="0" y="0"/>
                      <wp:positionH relativeFrom="column">
                        <wp:posOffset>4730750</wp:posOffset>
                      </wp:positionH>
                      <wp:positionV relativeFrom="paragraph">
                        <wp:posOffset>2139315</wp:posOffset>
                      </wp:positionV>
                      <wp:extent cx="203835" cy="265430"/>
                      <wp:effectExtent l="0" t="0" r="5715" b="1270"/>
                      <wp:wrapNone/>
                      <wp:docPr id="43" name="矩形 76"/>
                      <wp:cNvGraphicFramePr/>
                      <a:graphic xmlns:a="http://schemas.openxmlformats.org/drawingml/2006/main">
                        <a:graphicData uri="http://schemas.microsoft.com/office/word/2010/wordprocessingShape">
                          <wps:wsp>
                            <wps:cNvSpPr/>
                            <wps:spPr>
                              <a:xfrm>
                                <a:off x="0" y="0"/>
                                <a:ext cx="203835" cy="265430"/>
                              </a:xfrm>
                              <a:prstGeom prst="rect">
                                <a:avLst/>
                              </a:prstGeom>
                              <a:solidFill>
                                <a:srgbClr val="FFFF00">
                                  <a:alpha val="50000"/>
                                </a:srgbClr>
                              </a:solidFill>
                              <a:ln>
                                <a:noFill/>
                              </a:ln>
                            </wps:spPr>
                            <wps:txbx>
                              <w:txbxContent>
                                <w:p>
                                  <w:pPr>
                                    <w:jc w:val="center"/>
                                  </w:pPr>
                                </w:p>
                              </w:txbxContent>
                            </wps:txbx>
                            <wps:bodyPr upright="1"/>
                          </wps:wsp>
                        </a:graphicData>
                      </a:graphic>
                    </wp:anchor>
                  </w:drawing>
                </mc:Choice>
                <mc:Fallback>
                  <w:pict>
                    <v:rect id="矩形 76" o:spid="_x0000_s1026" o:spt="1" style="position:absolute;left:0pt;margin-left:372.5pt;margin-top:168.45pt;height:20.9pt;width:16.05pt;z-index:251677696;mso-width-relative:page;mso-height-relative:page;" fillcolor="#FFFF00" filled="t" stroked="f" coordsize="21600,21600" o:gfxdata="UEsDBAoAAAAAAIdO4kAAAAAAAAAAAAAAAAAEAAAAZHJzL1BLAwQUAAAACACHTuJANN5M2NgAAAAL&#10;AQAADwAAAGRycy9kb3ducmV2LnhtbE2PwU7DMBBE70j8g7VIXBB1QkJdQpweQHwAbT/ATZYkrb0O&#10;sZMUvp7lBMfZGc2+KbcXZ8WMY+g9aUhXCQik2jc9tRoO+7f7DYgQDTXGekINXxhgW11flaZo/ELv&#10;OO9iK7iEQmE0dDEOhZSh7tCZsPIDEnsffnQmshxb2Yxm4XJn5UOSrKUzPfGHzgz40mF93k1Ow13I&#10;X61NMV+smfI5O5wy9/mt9e1NmjyDiHiJf2H4xWd0qJjp6CdqgrAaVP7IW6KGLFs/geCEUioFceSL&#10;2iiQVSn/b6h+AFBLAwQUAAAACACHTuJACpXm9MgBAACMAwAADgAAAGRycy9lMm9Eb2MueG1srVNL&#10;btswEN0X6B0I7mvJduwGhuUsaribog2Q5gA0RUkE+MMMbcmnKdBdD9HjFL1Gh5TqBOkmi3JBzQyH&#10;b+a9obZ3gzXsrAC1dxWfz0rOlJO+1q6t+OPXw7tbzjAKVwvjnar4RSG/2719s+3DRi18502tgBGI&#10;w00fKt7FGDZFgbJTVuDMB+XosPFgRSQX2qIG0RO6NcWiLNdF76EO4KVCpOh+POQTIrwG0DeNlmrv&#10;5ckqF0dUUEZEooSdDsh3udumUTJ+aRpUkZmKE9OYdypC9jHtxW4rNi2I0Gk5tSBe08ILTlZoR0Wv&#10;UHsRBTuB/gfKagkefRNn0ttiJJIVIRbz8oU2D50IKnMhqTFcRcf/Bys/n++B6briN0vOnLA08d/f&#10;fvz6+Z29Xyd1+oAbSnoI9zB5SGaiOjRg05dIsCErerkqqobIJAUX5fJ2ueJM0tFivbpZZsWLp8sB&#10;MH5U3rJkVBxoYFlHcf6EkQpS6t+UVAu90fVBG5MdaI8fDLCzoOEeaJXleNeETozRVUkr0SAcHNNH&#10;+zmOcQnN+YQ7pqZIkZiPXJMVh+MwCXD09YVEOwXQbUdNz3OBlERDyvDTg0qv4LmfQZ9+ot0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NN5M2NgAAAALAQAADwAAAAAAAAABACAAAAAiAAAAZHJzL2Rv&#10;d25yZXYueG1sUEsBAhQAFAAAAAgAh07iQAqV5vTIAQAAjAMAAA4AAAAAAAAAAQAgAAAAJwEAAGRy&#10;cy9lMm9Eb2MueG1sUEsFBgAAAAAGAAYAWQEAAGEFAAAAAA==&#10;">
                      <v:fill on="t" opacity="32768f" focussize="0,0"/>
                      <v:stroke on="f"/>
                      <v:imagedata o:title=""/>
                      <o:lock v:ext="edit" aspectratio="f"/>
                      <v:textbox>
                        <w:txbxContent>
                          <w:p>
                            <w:pPr>
                              <w:jc w:val="center"/>
                            </w:pPr>
                          </w:p>
                        </w:txbxContent>
                      </v:textbox>
                    </v:rect>
                  </w:pict>
                </mc:Fallback>
              </mc:AlternateContent>
            </w:r>
          </w:p>
          <w:p>
            <w:pPr>
              <w:spacing w:line="360" w:lineRule="auto"/>
              <w:jc w:val="center"/>
              <w:rPr>
                <w:rFonts w:hint="eastAsia" w:ascii="宋体" w:hAnsi="宋体" w:eastAsia="宋体" w:cs="宋体"/>
                <w:b/>
                <w:color w:val="auto"/>
                <w:spacing w:val="16"/>
                <w:kern w:val="0"/>
                <w:sz w:val="24"/>
                <w:highlight w:val="none"/>
              </w:rPr>
            </w:pPr>
          </w:p>
          <w:p>
            <w:pPr>
              <w:spacing w:line="360" w:lineRule="auto"/>
              <w:jc w:val="center"/>
              <w:rPr>
                <w:rFonts w:hint="eastAsia" w:ascii="宋体" w:hAnsi="宋体" w:eastAsia="宋体" w:cs="宋体"/>
                <w:b/>
                <w:color w:val="auto"/>
                <w:spacing w:val="16"/>
                <w:kern w:val="0"/>
                <w:sz w:val="24"/>
                <w:highlight w:val="none"/>
              </w:rPr>
            </w:pPr>
            <w:r>
              <w:rPr>
                <w:rFonts w:hint="eastAsia" w:ascii="宋体" w:hAnsi="宋体" w:eastAsia="宋体" w:cs="宋体"/>
                <w:b/>
                <w:color w:val="auto"/>
                <w:sz w:val="24"/>
                <w:highlight w:val="none"/>
              </w:rPr>
              <mc:AlternateContent>
                <mc:Choice Requires="wps">
                  <w:drawing>
                    <wp:anchor distT="0" distB="0" distL="114300" distR="114300" simplePos="0" relativeHeight="251663360" behindDoc="0" locked="0" layoutInCell="1" allowOverlap="1">
                      <wp:simplePos x="0" y="0"/>
                      <wp:positionH relativeFrom="column">
                        <wp:posOffset>5125720</wp:posOffset>
                      </wp:positionH>
                      <wp:positionV relativeFrom="paragraph">
                        <wp:posOffset>181610</wp:posOffset>
                      </wp:positionV>
                      <wp:extent cx="218440" cy="90805"/>
                      <wp:effectExtent l="0" t="0" r="10160" b="4445"/>
                      <wp:wrapNone/>
                      <wp:docPr id="32" name="自选图形 82"/>
                      <wp:cNvGraphicFramePr/>
                      <a:graphic xmlns:a="http://schemas.openxmlformats.org/drawingml/2006/main">
                        <a:graphicData uri="http://schemas.microsoft.com/office/word/2010/wordprocessingShape">
                          <wps:wsp>
                            <wps:cNvSpPr/>
                            <wps:spPr>
                              <a:xfrm>
                                <a:off x="0" y="0"/>
                                <a:ext cx="218440" cy="90805"/>
                              </a:xfrm>
                              <a:prstGeom prst="flowChartProcess">
                                <a:avLst/>
                              </a:prstGeom>
                              <a:solidFill>
                                <a:srgbClr val="FFFF00">
                                  <a:alpha val="50000"/>
                                </a:srgbClr>
                              </a:solidFill>
                              <a:ln>
                                <a:noFill/>
                              </a:ln>
                            </wps:spPr>
                            <wps:bodyPr upright="1"/>
                          </wps:wsp>
                        </a:graphicData>
                      </a:graphic>
                    </wp:anchor>
                  </w:drawing>
                </mc:Choice>
                <mc:Fallback>
                  <w:pict>
                    <v:shape id="自选图形 82" o:spid="_x0000_s1026" o:spt="109" type="#_x0000_t109" style="position:absolute;left:0pt;margin-left:403.6pt;margin-top:14.3pt;height:7.15pt;width:17.2pt;z-index:251663360;mso-width-relative:page;mso-height-relative:page;" fillcolor="#FFFF00" filled="t" stroked="f" coordsize="21600,21600" o:gfxdata="UEsDBAoAAAAAAIdO4kAAAAAAAAAAAAAAAAAEAAAAZHJzL1BLAwQUAAAACACHTuJALeGO0dgAAAAJ&#10;AQAADwAAAGRycy9kb3ducmV2LnhtbE2Py07DMBBF90j8gzWV2FE7UdWkIZMueEjsCg0S20nsPNTY&#10;jmy3KXw9ZgW7Gc3RnXPL/VVP7KKcH61BSNYCmDKtlaPpET7ql/scmA9kJE3WKIQv5WFf3d6UVEi7&#10;mHd1OYaexRDjC0IYQpgLzn07KE1+bWdl4q2zTlOIq+u5dLTEcD3xVIgt1zSa+GGgWT0Oqj0dzxrh&#10;M6PDwp+z2jdvuyf33R1ea9ch3q0S8QAsqGv4g+FXP6pDFZ0aezbSswkhF1kaUYQ03wKLQL5J4tAg&#10;bNId8Krk/xtUP1BLAwQUAAAACACHTuJAxWCyS9EBAACSAwAADgAAAGRycy9lMm9Eb2MueG1srVPL&#10;jtMwFN0j8Q+W9zRpmEElajqLqcoGQaWBD3AdJ7Hkl67dpt2xQ3wDO5b8A/zNSPAXXNuh82AzC7xw&#10;7svn3nPsLK+OWpGDAC+taeh8VlIiDLetNH1DP37YvFhQ4gMzLVPWiIaehKdXq+fPlqOrRWUHq1oB&#10;BEGMr0fX0CEEVxeF54PQzM+sEwaTnQXNArrQFy2wEdG1KqqyfFWMFloHlgvvMbrOSTohwlMAbddJ&#10;LtaW77UwIaOCUCwgJT9I5+kqTdt1gof3XedFIKqhyDSkHZugvYt7sVqyugfmBsmnEdhTRnjESTNp&#10;sOkZas0CI3uQ/0BpycF624UZt7rIRJIiyGJePtLmZmBOJC4otXdn0f3/g+XvDlsgsm3oy4oSwzTe&#10;+K/P339/+nL79eftj29kUUWNRudrLL1xW5g8j2YkfOxAxy9SIcek6+msqzgGwjFYzRcXF6g4x9Tr&#10;clFeRsji7qwDH94Iq0k0GtopO14PDMI2v5IkLDu89SEf+1se23qrZLuRSiUH+t21AnJgeNsbXGWZ&#10;zyo3sBy9LHFN7X0uT6M8wFEmohkbcXPLGCmiCJl2tHa2PaF0eweyH3DqeUKNGbyqhDk9q/gW7vsJ&#10;6e5XWv0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LeGO0dgAAAAJAQAADwAAAAAAAAABACAAAAAi&#10;AAAAZHJzL2Rvd25yZXYueG1sUEsBAhQAFAAAAAgAh07iQMVgskvRAQAAkgMAAA4AAAAAAAAAAQAg&#10;AAAAJwEAAGRycy9lMm9Eb2MueG1sUEsFBgAAAAAGAAYAWQEAAGoFAAAAAA==&#10;">
                      <v:fill on="t" opacity="32768f" focussize="0,0"/>
                      <v:stroke on="f"/>
                      <v:imagedata o:title=""/>
                      <o:lock v:ext="edit" aspectratio="f"/>
                    </v:shape>
                  </w:pict>
                </mc:Fallback>
              </mc:AlternateContent>
            </w:r>
            <w:r>
              <w:rPr>
                <w:rFonts w:hint="eastAsia" w:ascii="宋体" w:hAnsi="宋体" w:eastAsia="宋体" w:cs="宋体"/>
                <w:color w:val="auto"/>
                <w:highlight w:val="none"/>
              </w:rPr>
              <mc:AlternateContent>
                <mc:Choice Requires="wps">
                  <w:drawing>
                    <wp:anchor distT="0" distB="0" distL="114300" distR="114300" simplePos="0" relativeHeight="251662336" behindDoc="0" locked="0" layoutInCell="1" allowOverlap="1">
                      <wp:simplePos x="0" y="0"/>
                      <wp:positionH relativeFrom="column">
                        <wp:posOffset>5105400</wp:posOffset>
                      </wp:positionH>
                      <wp:positionV relativeFrom="paragraph">
                        <wp:posOffset>29210</wp:posOffset>
                      </wp:positionV>
                      <wp:extent cx="218440" cy="90805"/>
                      <wp:effectExtent l="0" t="0" r="10160" b="4445"/>
                      <wp:wrapNone/>
                      <wp:docPr id="31" name="自选图形 81"/>
                      <wp:cNvGraphicFramePr/>
                      <a:graphic xmlns:a="http://schemas.openxmlformats.org/drawingml/2006/main">
                        <a:graphicData uri="http://schemas.microsoft.com/office/word/2010/wordprocessingShape">
                          <wps:wsp>
                            <wps:cNvSpPr/>
                            <wps:spPr>
                              <a:xfrm>
                                <a:off x="0" y="0"/>
                                <a:ext cx="218440" cy="90805"/>
                              </a:xfrm>
                              <a:prstGeom prst="flowChartProcess">
                                <a:avLst/>
                              </a:prstGeom>
                              <a:solidFill>
                                <a:srgbClr val="FF0000">
                                  <a:alpha val="50000"/>
                                </a:srgbClr>
                              </a:solidFill>
                              <a:ln>
                                <a:noFill/>
                              </a:ln>
                            </wps:spPr>
                            <wps:bodyPr upright="1"/>
                          </wps:wsp>
                        </a:graphicData>
                      </a:graphic>
                    </wp:anchor>
                  </w:drawing>
                </mc:Choice>
                <mc:Fallback>
                  <w:pict>
                    <v:shape id="自选图形 81" o:spid="_x0000_s1026" o:spt="109" type="#_x0000_t109" style="position:absolute;left:0pt;margin-left:402pt;margin-top:2.3pt;height:7.15pt;width:17.2pt;z-index:251662336;mso-width-relative:page;mso-height-relative:page;" fillcolor="#FF0000" filled="t" stroked="f" coordsize="21600,21600" o:gfxdata="UEsDBAoAAAAAAIdO4kAAAAAAAAAAAAAAAAAEAAAAZHJzL1BLAwQUAAAACACHTuJAmFVhqNcAAAAI&#10;AQAADwAAAGRycy9kb3ducmV2LnhtbE2PMU/DMBSEdyT+g/WQ2KiTEiqTxumAVCSWSpQOsLnxaxw1&#10;fo5iJy3/nscE4+lOd99Vm6vvxYxj7AJpyBcZCKQm2I5aDYeP7YMCEZMha/pAqOEbI2zq25vKlDZc&#10;6B3nfWoFl1AsjQaX0lBKGRuH3sRFGJDYO4XRm8RybKUdzYXLfS+XWbaS3nTEC84M+OKwOe8nr+Ft&#10;5z63p/bwhLvl1+vk8oLyOWh9f5dnaxAJr+kvDL/4jA41Mx3DRDaKXoPKCv6SNBQrEOyrR1WAOHJQ&#10;PYOsK/n/QP0DUEsDBBQAAAAIAIdO4kBlToEO0QEAAJIDAAAOAAAAZHJzL2Uyb0RvYy54bWytk82O&#10;0zAQx+9IvIPlO01adlGJmu5hq3JBUGnhAVzHTiz5S2O3aW/cEM/AjSPvAG+zErwFY7t0P7jsgRyS&#10;8Xj88/z/dhZXB6PJXkBQzrZ0OqkpEZa7Ttm+pR8/rF/MKQmR2Y5pZ0VLjyLQq+XzZ4vRN2LmBqc7&#10;AQQhNjSjb+kQo2+qKvBBGBYmzguLk9KBYRGH0FcdsBHpRlezun5VjQ46D46LEDC7KpP0RISnAJ2U&#10;iouV4zsjbCxUEJpFlBQG5QNd5m6lFDy+lzKISHRLUWnMb9wE4216V8sFa3pgflD81AJ7SguPNBmm&#10;LG56Rq1YZGQH6h+UURxccDJOuDNVEZIdQRXT+pE3NwPzImtBq4M/mx7+H5a/22+AqK6lL6eUWGbw&#10;xH99/v7705fbrz9vf3wj82nyaPShwdIbv4HTKGCYBB8kmPRFKeSQfT2efRWHSDgmZ9P5xQU6znHq&#10;dT2vLxOyulvrIcQ3whmSgpZK7cbrgUHclFuSjWX7tyGWZX/L07bBadWtldZ5AP32WgPZMzzt9brG&#10;p6zVfmAle5mThRNKeW7lAUfbRLMucUtpylTJhCI7RVvXHdG6nQfVD9h19inX4FFl5ulapbtwf5xJ&#10;d7/S8g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CYVWGo1wAAAAgBAAAPAAAAAAAAAAEAIAAAACIA&#10;AABkcnMvZG93bnJldi54bWxQSwECFAAUAAAACACHTuJAZU6BDtEBAACSAwAADgAAAAAAAAABACAA&#10;AAAmAQAAZHJzL2Uyb0RvYy54bWxQSwUGAAAAAAYABgBZAQAAaQUAAAAA&#10;">
                      <v:fill on="t" opacity="32768f" focussize="0,0"/>
                      <v:stroke on="f"/>
                      <v:imagedata o:title=""/>
                      <o:lock v:ext="edit" aspectratio="f"/>
                    </v:shape>
                  </w:pict>
                </mc:Fallback>
              </mc:AlternateContent>
            </w:r>
            <w:r>
              <w:rPr>
                <w:rFonts w:hint="eastAsia" w:ascii="宋体" w:hAnsi="宋体" w:eastAsia="宋体" w:cs="宋体"/>
                <w:b/>
                <w:color w:val="auto"/>
                <w:spacing w:val="16"/>
                <w:kern w:val="0"/>
                <w:sz w:val="24"/>
                <w:highlight w:val="none"/>
              </w:rPr>
              <w:t>图10-1</w:t>
            </w:r>
            <w:r>
              <w:rPr>
                <w:rFonts w:hint="eastAsia" w:ascii="宋体" w:hAnsi="宋体" w:eastAsia="宋体" w:cs="宋体"/>
                <w:b/>
                <w:color w:val="auto"/>
                <w:spacing w:val="16"/>
                <w:kern w:val="0"/>
                <w:sz w:val="24"/>
                <w:highlight w:val="none"/>
                <w:lang w:val="en-US" w:eastAsia="zh-CN"/>
              </w:rPr>
              <w:t xml:space="preserve"> </w:t>
            </w:r>
            <w:r>
              <w:rPr>
                <w:rFonts w:hint="eastAsia" w:ascii="宋体" w:hAnsi="宋体" w:eastAsia="宋体" w:cs="宋体"/>
                <w:b/>
                <w:color w:val="auto"/>
                <w:spacing w:val="16"/>
                <w:kern w:val="0"/>
                <w:sz w:val="24"/>
                <w:highlight w:val="none"/>
              </w:rPr>
              <w:t>分区示意图</w:t>
            </w:r>
          </w:p>
          <w:p>
            <w:pPr>
              <w:spacing w:line="360" w:lineRule="auto"/>
              <w:ind w:firstLine="601"/>
              <w:rPr>
                <w:rFonts w:hint="eastAsia" w:ascii="宋体" w:hAnsi="宋体" w:eastAsia="宋体" w:cs="宋体"/>
                <w:b/>
                <w:color w:val="auto"/>
                <w:spacing w:val="16"/>
                <w:kern w:val="0"/>
                <w:sz w:val="24"/>
                <w:highlight w:val="none"/>
              </w:rPr>
            </w:pPr>
            <w:r>
              <w:rPr>
                <w:rFonts w:hint="eastAsia" w:ascii="宋体" w:hAnsi="宋体" w:eastAsia="宋体" w:cs="宋体"/>
                <w:b/>
                <w:color w:val="auto"/>
                <w:spacing w:val="16"/>
                <w:kern w:val="0"/>
                <w:sz w:val="24"/>
                <w:highlight w:val="none"/>
                <w:lang w:eastAsia="zh-CN"/>
              </w:rPr>
              <w:t>（</w:t>
            </w:r>
            <w:r>
              <w:rPr>
                <w:rFonts w:hint="eastAsia" w:ascii="宋体" w:hAnsi="宋体" w:eastAsia="宋体" w:cs="宋体"/>
                <w:b/>
                <w:color w:val="auto"/>
                <w:spacing w:val="16"/>
                <w:kern w:val="0"/>
                <w:sz w:val="24"/>
                <w:highlight w:val="none"/>
                <w:lang w:val="en-US" w:eastAsia="zh-CN"/>
              </w:rPr>
              <w:t>三</w:t>
            </w:r>
            <w:r>
              <w:rPr>
                <w:rFonts w:hint="eastAsia" w:ascii="宋体" w:hAnsi="宋体" w:eastAsia="宋体" w:cs="宋体"/>
                <w:b/>
                <w:color w:val="auto"/>
                <w:spacing w:val="16"/>
                <w:kern w:val="0"/>
                <w:sz w:val="24"/>
                <w:highlight w:val="none"/>
                <w:lang w:eastAsia="zh-CN"/>
              </w:rPr>
              <w:t>）</w:t>
            </w:r>
            <w:r>
              <w:rPr>
                <w:rFonts w:hint="eastAsia" w:ascii="宋体" w:hAnsi="宋体" w:eastAsia="宋体" w:cs="宋体"/>
                <w:b/>
                <w:color w:val="auto"/>
                <w:spacing w:val="16"/>
                <w:kern w:val="0"/>
                <w:sz w:val="24"/>
                <w:highlight w:val="none"/>
              </w:rPr>
              <w:t>屏蔽防护设施</w:t>
            </w:r>
          </w:p>
          <w:p>
            <w:pPr>
              <w:spacing w:line="360" w:lineRule="auto"/>
              <w:ind w:firstLine="544" w:firstLineChars="200"/>
              <w:rPr>
                <w:rFonts w:hint="eastAsia" w:ascii="宋体" w:hAnsi="宋体" w:eastAsia="宋体" w:cs="宋体"/>
                <w:color w:val="auto"/>
                <w:spacing w:val="16"/>
                <w:kern w:val="0"/>
                <w:sz w:val="24"/>
                <w:highlight w:val="none"/>
                <w:lang w:val="en-US" w:eastAsia="zh-CN"/>
              </w:rPr>
            </w:pPr>
            <w:r>
              <w:rPr>
                <w:rFonts w:hint="eastAsia" w:ascii="宋体" w:hAnsi="宋体" w:eastAsia="宋体" w:cs="宋体"/>
                <w:color w:val="auto"/>
                <w:spacing w:val="16"/>
                <w:kern w:val="0"/>
                <w:sz w:val="24"/>
                <w:highlight w:val="none"/>
              </w:rPr>
              <w:t>本项目应用1台</w:t>
            </w:r>
            <w:r>
              <w:rPr>
                <w:rFonts w:hint="eastAsia" w:ascii="宋体" w:hAnsi="宋体" w:eastAsia="宋体" w:cs="宋体"/>
                <w:color w:val="auto"/>
                <w:spacing w:val="16"/>
                <w:kern w:val="0"/>
                <w:sz w:val="24"/>
                <w:highlight w:val="none"/>
                <w:lang w:val="en-US" w:eastAsia="zh-CN"/>
              </w:rPr>
              <w:t>10</w:t>
            </w:r>
            <w:r>
              <w:rPr>
                <w:rFonts w:hint="eastAsia" w:ascii="宋体" w:hAnsi="宋体" w:eastAsia="宋体" w:cs="宋体"/>
                <w:color w:val="auto"/>
                <w:spacing w:val="16"/>
                <w:kern w:val="0"/>
                <w:sz w:val="24"/>
                <w:highlight w:val="none"/>
              </w:rPr>
              <w:t>MV加速器，新建</w:t>
            </w:r>
            <w:r>
              <w:rPr>
                <w:rFonts w:hint="eastAsia" w:ascii="宋体" w:hAnsi="宋体" w:eastAsia="宋体" w:cs="宋体"/>
                <w:color w:val="auto"/>
                <w:spacing w:val="16"/>
                <w:kern w:val="0"/>
                <w:sz w:val="24"/>
                <w:highlight w:val="none"/>
                <w:lang w:val="en-US" w:eastAsia="zh-CN"/>
              </w:rPr>
              <w:t>1</w:t>
            </w:r>
            <w:r>
              <w:rPr>
                <w:rFonts w:hint="eastAsia" w:ascii="宋体" w:hAnsi="宋体" w:eastAsia="宋体" w:cs="宋体"/>
                <w:color w:val="auto"/>
                <w:spacing w:val="16"/>
                <w:kern w:val="0"/>
                <w:sz w:val="24"/>
                <w:highlight w:val="none"/>
              </w:rPr>
              <w:t>个加速器机房</w:t>
            </w:r>
            <w:r>
              <w:rPr>
                <w:rFonts w:hint="eastAsia" w:ascii="宋体" w:hAnsi="宋体" w:eastAsia="宋体" w:cs="宋体"/>
                <w:color w:val="auto"/>
                <w:spacing w:val="16"/>
                <w:kern w:val="0"/>
                <w:sz w:val="24"/>
                <w:highlight w:val="none"/>
                <w:lang w:eastAsia="zh-CN"/>
              </w:rPr>
              <w:t>，</w:t>
            </w:r>
            <w:r>
              <w:rPr>
                <w:rFonts w:hint="eastAsia" w:ascii="宋体" w:hAnsi="宋体" w:eastAsia="宋体" w:cs="宋体"/>
                <w:color w:val="auto"/>
                <w:spacing w:val="16"/>
                <w:kern w:val="0"/>
                <w:sz w:val="24"/>
                <w:highlight w:val="none"/>
              </w:rPr>
              <w:t>防护设计按照</w:t>
            </w:r>
            <w:r>
              <w:rPr>
                <w:rFonts w:hint="eastAsia" w:ascii="宋体" w:hAnsi="宋体" w:eastAsia="宋体" w:cs="宋体"/>
                <w:color w:val="auto"/>
                <w:spacing w:val="16"/>
                <w:kern w:val="0"/>
                <w:sz w:val="24"/>
                <w:highlight w:val="none"/>
                <w:lang w:val="en-US" w:eastAsia="zh-CN"/>
              </w:rPr>
              <w:t>10</w:t>
            </w:r>
            <w:r>
              <w:rPr>
                <w:rFonts w:hint="eastAsia" w:ascii="宋体" w:hAnsi="宋体" w:eastAsia="宋体" w:cs="宋体"/>
                <w:color w:val="auto"/>
                <w:spacing w:val="16"/>
                <w:kern w:val="0"/>
                <w:sz w:val="24"/>
                <w:highlight w:val="none"/>
              </w:rPr>
              <w:t>MV加速器的要求进行设计。</w:t>
            </w:r>
          </w:p>
          <w:p>
            <w:pPr>
              <w:spacing w:line="360" w:lineRule="auto"/>
              <w:ind w:firstLine="601"/>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sz w:val="24"/>
                <w:highlight w:val="none"/>
              </w:rPr>
              <w:t>本项目加速器机房位于</w:t>
            </w:r>
            <w:r>
              <w:rPr>
                <w:rFonts w:hint="eastAsia" w:ascii="宋体" w:hAnsi="宋体" w:eastAsia="宋体" w:cs="宋体"/>
                <w:color w:val="auto"/>
                <w:sz w:val="24"/>
                <w:highlight w:val="none"/>
                <w:lang w:val="en-US" w:eastAsia="zh-CN"/>
              </w:rPr>
              <w:t>双鸭山双矿医院有限公司院内新建直线加速器设备机房内，所在建筑为一层的独立建筑</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本项目直线加速器机房位于该独立建筑的西侧一端</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满足</w:t>
            </w:r>
            <w:r>
              <w:rPr>
                <w:rFonts w:hint="eastAsia" w:ascii="宋体" w:hAnsi="宋体" w:eastAsia="宋体" w:cs="宋体"/>
                <w:color w:val="auto"/>
                <w:sz w:val="24"/>
                <w:highlight w:val="none"/>
                <w:lang w:eastAsia="zh-CN"/>
              </w:rPr>
              <w:t>《放射治疗放射防护要求》（GBZ121-2020）</w:t>
            </w:r>
            <w:r>
              <w:rPr>
                <w:rFonts w:hint="eastAsia" w:ascii="宋体" w:hAnsi="宋体" w:eastAsia="宋体" w:cs="宋体"/>
                <w:color w:val="auto"/>
                <w:sz w:val="24"/>
                <w:highlight w:val="none"/>
              </w:rPr>
              <w:t>中</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rPr>
              <w:t>放射治疗设施一般单独建造或建在建筑物底部的一端</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的要求</w:t>
            </w:r>
            <w:r>
              <w:rPr>
                <w:rFonts w:hint="eastAsia" w:ascii="宋体" w:hAnsi="宋体" w:eastAsia="宋体" w:cs="宋体"/>
                <w:color w:val="auto"/>
                <w:spacing w:val="16"/>
                <w:kern w:val="0"/>
                <w:sz w:val="24"/>
                <w:highlight w:val="none"/>
              </w:rPr>
              <w:t>。加速器治疗室净面积为</w:t>
            </w:r>
            <w:r>
              <w:rPr>
                <w:rFonts w:hint="eastAsia" w:ascii="宋体" w:hAnsi="宋体" w:eastAsia="宋体" w:cs="宋体"/>
                <w:color w:val="auto"/>
                <w:spacing w:val="16"/>
                <w:kern w:val="0"/>
                <w:sz w:val="24"/>
                <w:highlight w:val="none"/>
                <w:lang w:val="en-US" w:eastAsia="zh-CN"/>
              </w:rPr>
              <w:t>56</w:t>
            </w:r>
            <w:r>
              <w:rPr>
                <w:rFonts w:hint="eastAsia" w:ascii="宋体" w:hAnsi="宋体" w:eastAsia="宋体" w:cs="宋体"/>
                <w:color w:val="auto"/>
                <w:spacing w:val="16"/>
                <w:kern w:val="0"/>
                <w:sz w:val="24"/>
                <w:highlight w:val="none"/>
              </w:rPr>
              <w:t>m</w:t>
            </w:r>
            <w:r>
              <w:rPr>
                <w:rFonts w:hint="eastAsia" w:ascii="宋体" w:hAnsi="宋体" w:eastAsia="宋体" w:cs="宋体"/>
                <w:color w:val="auto"/>
                <w:spacing w:val="16"/>
                <w:kern w:val="0"/>
                <w:sz w:val="24"/>
                <w:highlight w:val="none"/>
                <w:vertAlign w:val="superscript"/>
              </w:rPr>
              <w:t>2</w:t>
            </w:r>
            <w:r>
              <w:rPr>
                <w:rFonts w:hint="eastAsia" w:ascii="宋体" w:hAnsi="宋体" w:eastAsia="宋体" w:cs="宋体"/>
                <w:color w:val="auto"/>
                <w:spacing w:val="16"/>
                <w:kern w:val="0"/>
                <w:sz w:val="24"/>
                <w:highlight w:val="none"/>
              </w:rPr>
              <w:t>，符合</w:t>
            </w:r>
            <w:r>
              <w:rPr>
                <w:rFonts w:hint="eastAsia" w:ascii="宋体" w:hAnsi="宋体" w:eastAsia="宋体" w:cs="宋体"/>
                <w:color w:val="auto"/>
                <w:sz w:val="24"/>
                <w:highlight w:val="none"/>
                <w:lang w:eastAsia="zh-CN"/>
              </w:rPr>
              <w:t>《放射治疗放射防护要求》（GBZ121-2020）</w:t>
            </w:r>
            <w:r>
              <w:rPr>
                <w:rFonts w:hint="eastAsia" w:ascii="宋体" w:hAnsi="宋体" w:eastAsia="宋体" w:cs="宋体"/>
                <w:color w:val="auto"/>
                <w:sz w:val="24"/>
                <w:highlight w:val="none"/>
              </w:rPr>
              <w:t>中“放射治疗机房应有足够的有效使用空间，以确保放射治疗设备的临床应用需要”的要求。本项目</w:t>
            </w:r>
            <w:r>
              <w:rPr>
                <w:rFonts w:hint="eastAsia" w:ascii="宋体" w:hAnsi="宋体" w:eastAsia="宋体" w:cs="宋体"/>
                <w:color w:val="auto"/>
                <w:spacing w:val="16"/>
                <w:kern w:val="0"/>
                <w:sz w:val="24"/>
                <w:highlight w:val="none"/>
              </w:rPr>
              <w:t>采用实体屏蔽，机房四周防护墙和顶棚采用混凝土浇筑而成，</w:t>
            </w:r>
            <w:r>
              <w:rPr>
                <w:rFonts w:hint="eastAsia" w:ascii="宋体" w:hAnsi="宋体" w:eastAsia="宋体" w:cs="宋体"/>
                <w:color w:val="auto"/>
                <w:spacing w:val="16"/>
                <w:kern w:val="0"/>
                <w:sz w:val="24"/>
                <w:highlight w:val="none"/>
                <w:lang w:val="en-US" w:eastAsia="zh-CN"/>
              </w:rPr>
              <w:t>同时，加速器主束方向加速器机房</w:t>
            </w:r>
            <w:r>
              <w:rPr>
                <w:rFonts w:hint="eastAsia" w:ascii="宋体" w:hAnsi="宋体" w:eastAsia="宋体" w:cs="宋体"/>
                <w:color w:val="auto"/>
                <w:spacing w:val="16"/>
                <w:kern w:val="0"/>
                <w:sz w:val="24"/>
                <w:highlight w:val="none"/>
              </w:rPr>
              <w:t>防护门采用</w:t>
            </w:r>
            <w:r>
              <w:rPr>
                <w:rFonts w:hint="eastAsia" w:ascii="宋体" w:hAnsi="宋体" w:eastAsia="宋体" w:cs="宋体"/>
                <w:color w:val="auto"/>
                <w:spacing w:val="16"/>
                <w:kern w:val="0"/>
                <w:sz w:val="24"/>
                <w:highlight w:val="none"/>
                <w:lang w:val="en-US" w:eastAsia="zh-CN"/>
              </w:rPr>
              <w:t>20</w:t>
            </w:r>
            <w:r>
              <w:rPr>
                <w:rFonts w:hint="eastAsia" w:ascii="宋体" w:hAnsi="宋体" w:eastAsia="宋体" w:cs="宋体"/>
                <w:color w:val="auto"/>
                <w:spacing w:val="16"/>
                <w:kern w:val="0"/>
                <w:sz w:val="24"/>
                <w:highlight w:val="none"/>
              </w:rPr>
              <w:t>mm铅板防护</w:t>
            </w:r>
            <w:r>
              <w:rPr>
                <w:rFonts w:hint="eastAsia" w:ascii="宋体" w:hAnsi="宋体" w:eastAsia="宋体" w:cs="宋体"/>
                <w:color w:val="auto"/>
                <w:kern w:val="0"/>
                <w:sz w:val="24"/>
                <w:szCs w:val="24"/>
                <w:highlight w:val="none"/>
                <w:lang w:val="en-US" w:eastAsia="zh-CN"/>
              </w:rPr>
              <w:t>。</w:t>
            </w:r>
          </w:p>
          <w:p>
            <w:pPr>
              <w:spacing w:line="360" w:lineRule="auto"/>
              <w:ind w:firstLine="601"/>
              <w:rPr>
                <w:rFonts w:hint="eastAsia" w:ascii="宋体" w:hAnsi="宋体" w:eastAsia="宋体" w:cs="宋体"/>
                <w:color w:val="auto"/>
                <w:spacing w:val="16"/>
                <w:kern w:val="0"/>
                <w:sz w:val="24"/>
                <w:highlight w:val="none"/>
              </w:rPr>
            </w:pPr>
            <w:r>
              <w:rPr>
                <w:rFonts w:hint="eastAsia" w:ascii="宋体" w:hAnsi="宋体" w:cs="宋体"/>
                <w:color w:val="auto"/>
                <w:kern w:val="0"/>
                <w:sz w:val="24"/>
                <w:szCs w:val="24"/>
                <w:highlight w:val="none"/>
                <w:lang w:val="en-US" w:eastAsia="zh-CN"/>
              </w:rPr>
              <w:t>铅当量计算公示如下：根据混凝土的TVL和TVL1去算整个墙体的透射系数，其中X</w:t>
            </w:r>
            <w:r>
              <w:rPr>
                <w:rFonts w:hint="eastAsia" w:ascii="宋体" w:hAnsi="宋体" w:cs="宋体"/>
                <w:color w:val="auto"/>
                <w:kern w:val="0"/>
                <w:sz w:val="24"/>
                <w:szCs w:val="24"/>
                <w:highlight w:val="none"/>
                <w:vertAlign w:val="subscript"/>
                <w:lang w:val="en-US" w:eastAsia="zh-CN"/>
              </w:rPr>
              <w:t>e</w:t>
            </w:r>
            <w:r>
              <w:rPr>
                <w:rFonts w:hint="eastAsia" w:ascii="宋体" w:hAnsi="宋体" w:cs="宋体"/>
                <w:color w:val="auto"/>
                <w:kern w:val="0"/>
                <w:sz w:val="24"/>
                <w:szCs w:val="24"/>
                <w:highlight w:val="none"/>
                <w:lang w:val="en-US" w:eastAsia="zh-CN"/>
              </w:rPr>
              <w:t>是</w:t>
            </w:r>
            <w:r>
              <w:rPr>
                <w:rFonts w:ascii="宋体" w:hAnsi="宋体" w:eastAsia="宋体" w:cs="宋体"/>
                <w:sz w:val="24"/>
                <w:szCs w:val="24"/>
              </w:rPr>
              <w:t>屏蔽体厚度</w:t>
            </w:r>
            <w:r>
              <w:rPr>
                <w:rFonts w:hint="eastAsia" w:ascii="宋体" w:hAnsi="宋体" w:cs="宋体"/>
                <w:color w:val="auto"/>
                <w:kern w:val="0"/>
                <w:sz w:val="24"/>
                <w:szCs w:val="24"/>
                <w:highlight w:val="none"/>
                <w:lang w:val="en-US" w:eastAsia="zh-CN"/>
              </w:rPr>
              <w:t>mm（本公式中代入墙的厚度），计算出B透射因子。再代入铅板的TVL和TVL1，计算出铅当量厚度，</w:t>
            </w:r>
            <w:r>
              <w:rPr>
                <w:rFonts w:hint="eastAsia" w:ascii="宋体" w:hAnsi="宋体" w:eastAsia="宋体" w:cs="宋体"/>
                <w:color w:val="auto"/>
                <w:spacing w:val="16"/>
                <w:kern w:val="0"/>
                <w:sz w:val="24"/>
                <w:szCs w:val="24"/>
                <w:highlight w:val="none"/>
              </w:rPr>
              <w:t>防</w:t>
            </w:r>
            <w:r>
              <w:rPr>
                <w:rFonts w:hint="eastAsia" w:ascii="宋体" w:hAnsi="宋体" w:eastAsia="宋体" w:cs="宋体"/>
                <w:color w:val="auto"/>
                <w:spacing w:val="16"/>
                <w:kern w:val="0"/>
                <w:sz w:val="24"/>
                <w:highlight w:val="none"/>
              </w:rPr>
              <w:t>护材料和厚度见表10-</w:t>
            </w:r>
            <w:r>
              <w:rPr>
                <w:rFonts w:hint="eastAsia" w:ascii="宋体" w:hAnsi="宋体" w:eastAsia="宋体" w:cs="宋体"/>
                <w:color w:val="auto"/>
                <w:spacing w:val="16"/>
                <w:kern w:val="0"/>
                <w:sz w:val="24"/>
                <w:highlight w:val="none"/>
                <w:lang w:val="en-US" w:eastAsia="zh-CN"/>
              </w:rPr>
              <w:t>2</w:t>
            </w:r>
            <w:r>
              <w:rPr>
                <w:rFonts w:hint="eastAsia" w:ascii="宋体" w:hAnsi="宋体" w:eastAsia="宋体" w:cs="宋体"/>
                <w:color w:val="auto"/>
                <w:spacing w:val="16"/>
                <w:kern w:val="0"/>
                <w:sz w:val="24"/>
                <w:highlight w:val="none"/>
              </w:rPr>
              <w:t>。</w:t>
            </w:r>
          </w:p>
          <w:p>
            <w:pPr>
              <w:spacing w:line="360" w:lineRule="auto"/>
              <w:ind w:firstLine="482" w:firstLineChars="200"/>
              <w:jc w:val="center"/>
              <w:rPr>
                <w:rFonts w:hint="eastAsia" w:ascii="宋体" w:hAnsi="宋体" w:eastAsia="宋体" w:cs="宋体"/>
                <w:b/>
                <w:color w:val="auto"/>
                <w:kern w:val="0"/>
                <w:sz w:val="24"/>
                <w:highlight w:val="none"/>
                <w:lang w:eastAsia="zh-CN"/>
              </w:rPr>
            </w:pPr>
            <w:r>
              <w:rPr>
                <w:rFonts w:hint="eastAsia" w:ascii="宋体" w:hAnsi="宋体" w:eastAsia="宋体" w:cs="宋体"/>
                <w:b/>
                <w:color w:val="auto"/>
                <w:kern w:val="0"/>
                <w:sz w:val="24"/>
                <w:highlight w:val="none"/>
                <w:lang w:eastAsia="zh-CN"/>
              </w:rPr>
              <w:drawing>
                <wp:inline distT="0" distB="0" distL="114300" distR="114300">
                  <wp:extent cx="2605405" cy="571500"/>
                  <wp:effectExtent l="0" t="0" r="0" b="0"/>
                  <wp:docPr id="6" name="图片 6" descr="611a722bf6ad1bf953e70444b18cc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611a722bf6ad1bf953e70444b18ccb5"/>
                          <pic:cNvPicPr>
                            <a:picLocks noChangeAspect="1"/>
                          </pic:cNvPicPr>
                        </pic:nvPicPr>
                        <pic:blipFill>
                          <a:blip r:embed="rId19"/>
                          <a:srcRect r="41049"/>
                          <a:stretch>
                            <a:fillRect/>
                          </a:stretch>
                        </pic:blipFill>
                        <pic:spPr>
                          <a:xfrm>
                            <a:off x="0" y="0"/>
                            <a:ext cx="2605405" cy="571500"/>
                          </a:xfrm>
                          <a:prstGeom prst="rect">
                            <a:avLst/>
                          </a:prstGeom>
                        </pic:spPr>
                      </pic:pic>
                    </a:graphicData>
                  </a:graphic>
                </wp:inline>
              </w:drawing>
            </w:r>
          </w:p>
          <w:p>
            <w:pPr>
              <w:spacing w:line="240" w:lineRule="auto"/>
              <w:ind w:firstLine="482" w:firstLineChars="200"/>
              <w:jc w:val="center"/>
              <w:rPr>
                <w:rFonts w:hint="eastAsia" w:ascii="宋体" w:hAnsi="宋体" w:eastAsia="宋体" w:cs="宋体"/>
                <w:b/>
                <w:color w:val="auto"/>
                <w:kern w:val="0"/>
                <w:sz w:val="24"/>
                <w:highlight w:val="none"/>
                <w:lang w:eastAsia="zh-CN"/>
              </w:rPr>
            </w:pPr>
          </w:p>
          <w:p>
            <w:pPr>
              <w:spacing w:line="240" w:lineRule="auto"/>
              <w:ind w:firstLine="422" w:firstLineChars="200"/>
              <w:jc w:val="center"/>
              <w:rPr>
                <w:rFonts w:hint="eastAsia" w:ascii="宋体" w:hAnsi="宋体" w:eastAsia="宋体" w:cs="宋体"/>
                <w:b/>
                <w:color w:val="auto"/>
                <w:kern w:val="0"/>
                <w:sz w:val="21"/>
                <w:szCs w:val="21"/>
                <w:highlight w:val="none"/>
              </w:rPr>
            </w:pPr>
            <w:r>
              <w:rPr>
                <w:rFonts w:hint="eastAsia" w:ascii="宋体" w:hAnsi="宋体" w:eastAsia="宋体" w:cs="宋体"/>
                <w:b/>
                <w:color w:val="auto"/>
                <w:kern w:val="0"/>
                <w:sz w:val="21"/>
                <w:szCs w:val="21"/>
                <w:highlight w:val="none"/>
              </w:rPr>
              <w:t>表10-</w:t>
            </w:r>
            <w:r>
              <w:rPr>
                <w:rFonts w:hint="eastAsia" w:ascii="宋体" w:hAnsi="宋体" w:eastAsia="宋体" w:cs="宋体"/>
                <w:b/>
                <w:color w:val="auto"/>
                <w:kern w:val="0"/>
                <w:sz w:val="21"/>
                <w:szCs w:val="21"/>
                <w:highlight w:val="none"/>
                <w:lang w:val="en-US" w:eastAsia="zh-CN"/>
              </w:rPr>
              <w:t>2</w:t>
            </w:r>
            <w:r>
              <w:rPr>
                <w:rFonts w:hint="eastAsia" w:ascii="宋体" w:hAnsi="宋体" w:eastAsia="宋体" w:cs="宋体"/>
                <w:b/>
                <w:color w:val="auto"/>
                <w:kern w:val="0"/>
                <w:sz w:val="21"/>
                <w:szCs w:val="21"/>
                <w:highlight w:val="none"/>
              </w:rPr>
              <w:t xml:space="preserve"> 直线加速器机房辐射防护设计</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186"/>
              <w:gridCol w:w="3125"/>
              <w:gridCol w:w="2055"/>
              <w:gridCol w:w="2364"/>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exact"/>
                <w:jc w:val="center"/>
              </w:trPr>
              <w:tc>
                <w:tcPr>
                  <w:tcW w:w="5000" w:type="pct"/>
                  <w:gridSpan w:val="4"/>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b/>
                      <w:color w:val="auto"/>
                      <w:kern w:val="0"/>
                      <w:sz w:val="21"/>
                      <w:szCs w:val="21"/>
                      <w:highlight w:val="none"/>
                      <w:lang w:val="en-US" w:eastAsia="zh-CN"/>
                    </w:rPr>
                    <w:t>10</w:t>
                  </w:r>
                  <w:r>
                    <w:rPr>
                      <w:rFonts w:hint="eastAsia" w:ascii="宋体" w:hAnsi="宋体" w:eastAsia="宋体" w:cs="宋体"/>
                      <w:b/>
                      <w:color w:val="auto"/>
                      <w:kern w:val="0"/>
                      <w:sz w:val="21"/>
                      <w:szCs w:val="21"/>
                      <w:highlight w:val="none"/>
                    </w:rPr>
                    <w:t>MV加速器机房</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exact"/>
                <w:jc w:val="center"/>
              </w:trPr>
              <w:tc>
                <w:tcPr>
                  <w:tcW w:w="2469" w:type="pct"/>
                  <w:gridSpan w:val="2"/>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b/>
                      <w:color w:val="auto"/>
                      <w:kern w:val="0"/>
                      <w:sz w:val="21"/>
                      <w:szCs w:val="21"/>
                      <w:highlight w:val="none"/>
                    </w:rPr>
                    <w:t>位置</w:t>
                  </w:r>
                </w:p>
              </w:tc>
              <w:tc>
                <w:tcPr>
                  <w:tcW w:w="1177" w:type="pct"/>
                  <w:tcBorders>
                    <w:right w:val="single" w:color="auto" w:sz="4" w:space="0"/>
                  </w:tcBorders>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b/>
                      <w:color w:val="auto"/>
                      <w:kern w:val="0"/>
                      <w:sz w:val="21"/>
                      <w:szCs w:val="21"/>
                      <w:highlight w:val="none"/>
                      <w:lang w:val="en-US" w:eastAsia="zh-CN"/>
                    </w:rPr>
                    <w:t>屏蔽设计</w:t>
                  </w:r>
                </w:p>
              </w:tc>
              <w:tc>
                <w:tcPr>
                  <w:tcW w:w="1353" w:type="pct"/>
                  <w:tcBorders>
                    <w:left w:val="single" w:color="auto" w:sz="4" w:space="0"/>
                  </w:tcBorders>
                  <w:vAlign w:val="center"/>
                </w:tcPr>
                <w:p>
                  <w:pPr>
                    <w:spacing w:line="240" w:lineRule="auto"/>
                    <w:jc w:val="center"/>
                    <w:rPr>
                      <w:rFonts w:hint="eastAsia" w:ascii="宋体" w:hAnsi="宋体" w:eastAsia="宋体" w:cs="宋体"/>
                      <w:b/>
                      <w:color w:val="auto"/>
                      <w:kern w:val="0"/>
                      <w:sz w:val="21"/>
                      <w:szCs w:val="21"/>
                      <w:highlight w:val="none"/>
                      <w:lang w:val="en-US" w:eastAsia="zh-CN"/>
                    </w:rPr>
                  </w:pPr>
                  <w:r>
                    <w:rPr>
                      <w:rFonts w:hint="eastAsia" w:ascii="宋体" w:hAnsi="宋体" w:eastAsia="宋体" w:cs="宋体"/>
                      <w:b/>
                      <w:color w:val="auto"/>
                      <w:kern w:val="0"/>
                      <w:sz w:val="21"/>
                      <w:szCs w:val="21"/>
                      <w:highlight w:val="none"/>
                      <w:lang w:val="en-US" w:eastAsia="zh-CN"/>
                    </w:rPr>
                    <w:t>铅当量厚度（mmPb)</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exact"/>
                <w:jc w:val="center"/>
              </w:trPr>
              <w:tc>
                <w:tcPr>
                  <w:tcW w:w="679" w:type="pct"/>
                  <w:vMerge w:val="restart"/>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东侧</w:t>
                  </w:r>
                </w:p>
              </w:tc>
              <w:tc>
                <w:tcPr>
                  <w:tcW w:w="1789" w:type="pct"/>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主屏蔽墙</w:t>
                  </w:r>
                </w:p>
              </w:tc>
              <w:tc>
                <w:tcPr>
                  <w:tcW w:w="1177" w:type="pct"/>
                  <w:tcBorders>
                    <w:right w:val="single" w:color="auto" w:sz="4" w:space="0"/>
                  </w:tcBorders>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lang w:val="en-US" w:eastAsia="zh-CN"/>
                    </w:rPr>
                    <w:t>2.9</w:t>
                  </w:r>
                  <w:r>
                    <w:rPr>
                      <w:rFonts w:hint="eastAsia" w:ascii="宋体" w:hAnsi="宋体" w:eastAsia="宋体" w:cs="宋体"/>
                      <w:color w:val="auto"/>
                      <w:kern w:val="0"/>
                      <w:sz w:val="21"/>
                      <w:szCs w:val="21"/>
                      <w:highlight w:val="none"/>
                    </w:rPr>
                    <w:t>m</w:t>
                  </w:r>
                  <w:r>
                    <w:rPr>
                      <w:rFonts w:hint="eastAsia" w:ascii="宋体" w:hAnsi="宋体" w:eastAsia="宋体" w:cs="宋体"/>
                      <w:color w:val="auto"/>
                      <w:kern w:val="0"/>
                      <w:sz w:val="21"/>
                      <w:szCs w:val="21"/>
                      <w:highlight w:val="none"/>
                      <w:lang w:val="en-US" w:eastAsia="zh-CN"/>
                    </w:rPr>
                    <w:t>厚</w:t>
                  </w:r>
                  <w:r>
                    <w:rPr>
                      <w:rFonts w:hint="eastAsia" w:ascii="宋体" w:hAnsi="宋体" w:eastAsia="宋体" w:cs="宋体"/>
                      <w:color w:val="auto"/>
                      <w:kern w:val="0"/>
                      <w:sz w:val="21"/>
                      <w:szCs w:val="21"/>
                      <w:highlight w:val="none"/>
                    </w:rPr>
                    <w:t>混凝土</w:t>
                  </w:r>
                </w:p>
              </w:tc>
              <w:tc>
                <w:tcPr>
                  <w:tcW w:w="1353" w:type="pct"/>
                  <w:tcBorders>
                    <w:left w:val="single" w:color="auto" w:sz="4" w:space="0"/>
                  </w:tcBorders>
                  <w:vAlign w:val="center"/>
                </w:tcPr>
                <w:p>
                  <w:pPr>
                    <w:spacing w:line="240" w:lineRule="auto"/>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440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exact"/>
                <w:jc w:val="center"/>
              </w:trPr>
              <w:tc>
                <w:tcPr>
                  <w:tcW w:w="679" w:type="pct"/>
                  <w:vMerge w:val="continue"/>
                  <w:vAlign w:val="center"/>
                </w:tcPr>
                <w:p>
                  <w:pPr>
                    <w:spacing w:line="240" w:lineRule="auto"/>
                    <w:jc w:val="center"/>
                    <w:rPr>
                      <w:rFonts w:hint="eastAsia" w:ascii="宋体" w:hAnsi="宋体" w:eastAsia="宋体" w:cs="宋体"/>
                      <w:color w:val="auto"/>
                      <w:kern w:val="0"/>
                      <w:sz w:val="21"/>
                      <w:szCs w:val="21"/>
                      <w:highlight w:val="none"/>
                    </w:rPr>
                  </w:pPr>
                </w:p>
              </w:tc>
              <w:tc>
                <w:tcPr>
                  <w:tcW w:w="1789" w:type="pct"/>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副屏蔽墙</w:t>
                  </w:r>
                </w:p>
              </w:tc>
              <w:tc>
                <w:tcPr>
                  <w:tcW w:w="1177" w:type="pct"/>
                  <w:tcBorders>
                    <w:right w:val="single" w:color="auto" w:sz="4" w:space="0"/>
                  </w:tcBorders>
                  <w:vAlign w:val="center"/>
                </w:tcPr>
                <w:p>
                  <w:pPr>
                    <w:spacing w:line="240" w:lineRule="auto"/>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1.7</w:t>
                  </w:r>
                  <w:r>
                    <w:rPr>
                      <w:rFonts w:hint="eastAsia" w:ascii="宋体" w:hAnsi="宋体" w:eastAsia="宋体" w:cs="宋体"/>
                      <w:color w:val="auto"/>
                      <w:kern w:val="0"/>
                      <w:sz w:val="21"/>
                      <w:szCs w:val="21"/>
                      <w:highlight w:val="none"/>
                    </w:rPr>
                    <w:t>m</w:t>
                  </w:r>
                  <w:r>
                    <w:rPr>
                      <w:rFonts w:hint="eastAsia" w:ascii="宋体" w:hAnsi="宋体" w:eastAsia="宋体" w:cs="宋体"/>
                      <w:color w:val="auto"/>
                      <w:kern w:val="0"/>
                      <w:sz w:val="21"/>
                      <w:szCs w:val="21"/>
                      <w:highlight w:val="none"/>
                      <w:lang w:val="en-US" w:eastAsia="zh-CN"/>
                    </w:rPr>
                    <w:t>厚</w:t>
                  </w:r>
                  <w:r>
                    <w:rPr>
                      <w:rFonts w:hint="eastAsia" w:ascii="宋体" w:hAnsi="宋体" w:eastAsia="宋体" w:cs="宋体"/>
                      <w:color w:val="auto"/>
                      <w:kern w:val="0"/>
                      <w:sz w:val="21"/>
                      <w:szCs w:val="21"/>
                      <w:highlight w:val="none"/>
                    </w:rPr>
                    <w:t>混凝土</w:t>
                  </w:r>
                </w:p>
              </w:tc>
              <w:tc>
                <w:tcPr>
                  <w:tcW w:w="1353" w:type="pct"/>
                  <w:tcBorders>
                    <w:left w:val="single" w:color="auto" w:sz="4" w:space="0"/>
                  </w:tcBorders>
                  <w:vAlign w:val="center"/>
                </w:tcPr>
                <w:p>
                  <w:pPr>
                    <w:spacing w:line="240" w:lineRule="auto"/>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305</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exact"/>
                <w:jc w:val="center"/>
              </w:trPr>
              <w:tc>
                <w:tcPr>
                  <w:tcW w:w="679" w:type="pct"/>
                  <w:vMerge w:val="restart"/>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lang w:val="en-US" w:eastAsia="zh-CN"/>
                    </w:rPr>
                    <w:t>南</w:t>
                  </w:r>
                  <w:r>
                    <w:rPr>
                      <w:rFonts w:hint="eastAsia" w:ascii="宋体" w:hAnsi="宋体" w:eastAsia="宋体" w:cs="宋体"/>
                      <w:color w:val="auto"/>
                      <w:kern w:val="0"/>
                      <w:sz w:val="21"/>
                      <w:szCs w:val="21"/>
                      <w:highlight w:val="none"/>
                    </w:rPr>
                    <w:t>侧</w:t>
                  </w:r>
                </w:p>
              </w:tc>
              <w:tc>
                <w:tcPr>
                  <w:tcW w:w="1789" w:type="pct"/>
                  <w:vAlign w:val="center"/>
                </w:tcPr>
                <w:p>
                  <w:pPr>
                    <w:spacing w:line="240" w:lineRule="auto"/>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迷路内墙</w:t>
                  </w:r>
                </w:p>
              </w:tc>
              <w:tc>
                <w:tcPr>
                  <w:tcW w:w="1177" w:type="pct"/>
                  <w:tcBorders>
                    <w:right w:val="single" w:color="auto" w:sz="4" w:space="0"/>
                  </w:tcBorders>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lang w:val="en-US" w:eastAsia="zh-CN"/>
                    </w:rPr>
                    <w:t>1.2</w:t>
                  </w:r>
                  <w:r>
                    <w:rPr>
                      <w:rFonts w:hint="eastAsia" w:ascii="宋体" w:hAnsi="宋体" w:eastAsia="宋体" w:cs="宋体"/>
                      <w:color w:val="auto"/>
                      <w:kern w:val="0"/>
                      <w:sz w:val="21"/>
                      <w:szCs w:val="21"/>
                      <w:highlight w:val="none"/>
                    </w:rPr>
                    <w:t>m</w:t>
                  </w:r>
                  <w:r>
                    <w:rPr>
                      <w:rFonts w:hint="eastAsia" w:ascii="宋体" w:hAnsi="宋体" w:eastAsia="宋体" w:cs="宋体"/>
                      <w:color w:val="auto"/>
                      <w:kern w:val="0"/>
                      <w:sz w:val="21"/>
                      <w:szCs w:val="21"/>
                      <w:highlight w:val="none"/>
                      <w:lang w:val="en-US" w:eastAsia="zh-CN"/>
                    </w:rPr>
                    <w:t>厚</w:t>
                  </w:r>
                  <w:r>
                    <w:rPr>
                      <w:rFonts w:hint="eastAsia" w:ascii="宋体" w:hAnsi="宋体" w:eastAsia="宋体" w:cs="宋体"/>
                      <w:color w:val="auto"/>
                      <w:kern w:val="0"/>
                      <w:sz w:val="21"/>
                      <w:szCs w:val="21"/>
                      <w:highlight w:val="none"/>
                    </w:rPr>
                    <w:t>混凝土</w:t>
                  </w:r>
                </w:p>
              </w:tc>
              <w:tc>
                <w:tcPr>
                  <w:tcW w:w="1353" w:type="pct"/>
                  <w:tcBorders>
                    <w:left w:val="single" w:color="auto" w:sz="4" w:space="0"/>
                  </w:tcBorders>
                  <w:vAlign w:val="center"/>
                </w:tcPr>
                <w:p>
                  <w:pPr>
                    <w:spacing w:line="240" w:lineRule="auto"/>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213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exact"/>
                <w:jc w:val="center"/>
              </w:trPr>
              <w:tc>
                <w:tcPr>
                  <w:tcW w:w="679" w:type="pct"/>
                  <w:vMerge w:val="continue"/>
                  <w:vAlign w:val="center"/>
                </w:tcPr>
                <w:p>
                  <w:pPr>
                    <w:spacing w:line="240" w:lineRule="auto"/>
                    <w:jc w:val="center"/>
                    <w:rPr>
                      <w:rFonts w:hint="eastAsia" w:ascii="宋体" w:hAnsi="宋体" w:eastAsia="宋体" w:cs="宋体"/>
                      <w:color w:val="auto"/>
                      <w:kern w:val="0"/>
                      <w:sz w:val="21"/>
                      <w:szCs w:val="21"/>
                      <w:highlight w:val="none"/>
                    </w:rPr>
                  </w:pPr>
                </w:p>
              </w:tc>
              <w:tc>
                <w:tcPr>
                  <w:tcW w:w="1789" w:type="pct"/>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迷路外墙</w:t>
                  </w:r>
                </w:p>
              </w:tc>
              <w:tc>
                <w:tcPr>
                  <w:tcW w:w="1177" w:type="pct"/>
                  <w:tcBorders>
                    <w:right w:val="single" w:color="auto" w:sz="4" w:space="0"/>
                  </w:tcBorders>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1.</w:t>
                  </w:r>
                  <w:r>
                    <w:rPr>
                      <w:rFonts w:hint="eastAsia" w:ascii="宋体" w:hAnsi="宋体" w:eastAsia="宋体" w:cs="宋体"/>
                      <w:color w:val="auto"/>
                      <w:kern w:val="0"/>
                      <w:sz w:val="21"/>
                      <w:szCs w:val="21"/>
                      <w:highlight w:val="none"/>
                      <w:lang w:val="en-US" w:eastAsia="zh-CN"/>
                    </w:rPr>
                    <w:t>5</w:t>
                  </w:r>
                  <w:r>
                    <w:rPr>
                      <w:rFonts w:hint="eastAsia" w:ascii="宋体" w:hAnsi="宋体" w:eastAsia="宋体" w:cs="宋体"/>
                      <w:color w:val="auto"/>
                      <w:kern w:val="0"/>
                      <w:sz w:val="21"/>
                      <w:szCs w:val="21"/>
                      <w:highlight w:val="none"/>
                    </w:rPr>
                    <w:t>m</w:t>
                  </w:r>
                  <w:r>
                    <w:rPr>
                      <w:rFonts w:hint="eastAsia" w:ascii="宋体" w:hAnsi="宋体" w:eastAsia="宋体" w:cs="宋体"/>
                      <w:color w:val="auto"/>
                      <w:kern w:val="0"/>
                      <w:sz w:val="21"/>
                      <w:szCs w:val="21"/>
                      <w:highlight w:val="none"/>
                      <w:lang w:val="en-US" w:eastAsia="zh-CN"/>
                    </w:rPr>
                    <w:t>厚</w:t>
                  </w:r>
                  <w:r>
                    <w:rPr>
                      <w:rFonts w:hint="eastAsia" w:ascii="宋体" w:hAnsi="宋体" w:eastAsia="宋体" w:cs="宋体"/>
                      <w:color w:val="auto"/>
                      <w:kern w:val="0"/>
                      <w:sz w:val="21"/>
                      <w:szCs w:val="21"/>
                      <w:highlight w:val="none"/>
                    </w:rPr>
                    <w:t>混凝土</w:t>
                  </w:r>
                </w:p>
              </w:tc>
              <w:tc>
                <w:tcPr>
                  <w:tcW w:w="1353" w:type="pct"/>
                  <w:tcBorders>
                    <w:left w:val="single" w:color="auto" w:sz="4" w:space="0"/>
                  </w:tcBorders>
                  <w:vAlign w:val="center"/>
                </w:tcPr>
                <w:p>
                  <w:pPr>
                    <w:spacing w:line="240" w:lineRule="auto"/>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268</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exact"/>
                <w:jc w:val="center"/>
              </w:trPr>
              <w:tc>
                <w:tcPr>
                  <w:tcW w:w="679" w:type="pct"/>
                  <w:vMerge w:val="restart"/>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西侧</w:t>
                  </w:r>
                </w:p>
              </w:tc>
              <w:tc>
                <w:tcPr>
                  <w:tcW w:w="1789" w:type="pct"/>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主屏蔽墙</w:t>
                  </w:r>
                </w:p>
              </w:tc>
              <w:tc>
                <w:tcPr>
                  <w:tcW w:w="1177" w:type="pct"/>
                  <w:tcBorders>
                    <w:right w:val="single" w:color="auto" w:sz="4" w:space="0"/>
                  </w:tcBorders>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lang w:val="en-US" w:eastAsia="zh-CN"/>
                    </w:rPr>
                    <w:t>2.9</w:t>
                  </w:r>
                  <w:r>
                    <w:rPr>
                      <w:rFonts w:hint="eastAsia" w:ascii="宋体" w:hAnsi="宋体" w:eastAsia="宋体" w:cs="宋体"/>
                      <w:color w:val="auto"/>
                      <w:kern w:val="0"/>
                      <w:sz w:val="21"/>
                      <w:szCs w:val="21"/>
                      <w:highlight w:val="none"/>
                    </w:rPr>
                    <w:t>m</w:t>
                  </w:r>
                  <w:r>
                    <w:rPr>
                      <w:rFonts w:hint="eastAsia" w:ascii="宋体" w:hAnsi="宋体" w:eastAsia="宋体" w:cs="宋体"/>
                      <w:color w:val="auto"/>
                      <w:kern w:val="0"/>
                      <w:sz w:val="21"/>
                      <w:szCs w:val="21"/>
                      <w:highlight w:val="none"/>
                      <w:lang w:val="en-US" w:eastAsia="zh-CN"/>
                    </w:rPr>
                    <w:t>厚</w:t>
                  </w:r>
                  <w:r>
                    <w:rPr>
                      <w:rFonts w:hint="eastAsia" w:ascii="宋体" w:hAnsi="宋体" w:eastAsia="宋体" w:cs="宋体"/>
                      <w:color w:val="auto"/>
                      <w:kern w:val="0"/>
                      <w:sz w:val="21"/>
                      <w:szCs w:val="21"/>
                      <w:highlight w:val="none"/>
                    </w:rPr>
                    <w:t>混凝土</w:t>
                  </w:r>
                </w:p>
              </w:tc>
              <w:tc>
                <w:tcPr>
                  <w:tcW w:w="2364" w:type="dxa"/>
                  <w:tcBorders>
                    <w:left w:val="single" w:color="auto" w:sz="4" w:space="0"/>
                  </w:tcBorders>
                  <w:vAlign w:val="center"/>
                </w:tcPr>
                <w:p>
                  <w:pPr>
                    <w:spacing w:line="240" w:lineRule="auto"/>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440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exact"/>
                <w:jc w:val="center"/>
              </w:trPr>
              <w:tc>
                <w:tcPr>
                  <w:tcW w:w="679" w:type="pct"/>
                  <w:vMerge w:val="continue"/>
                  <w:vAlign w:val="center"/>
                </w:tcPr>
                <w:p>
                  <w:pPr>
                    <w:spacing w:line="240" w:lineRule="auto"/>
                    <w:jc w:val="center"/>
                    <w:rPr>
                      <w:rFonts w:hint="eastAsia" w:ascii="宋体" w:hAnsi="宋体" w:eastAsia="宋体" w:cs="宋体"/>
                      <w:color w:val="auto"/>
                      <w:kern w:val="0"/>
                      <w:sz w:val="21"/>
                      <w:szCs w:val="21"/>
                      <w:highlight w:val="none"/>
                    </w:rPr>
                  </w:pPr>
                </w:p>
              </w:tc>
              <w:tc>
                <w:tcPr>
                  <w:tcW w:w="1789" w:type="pct"/>
                  <w:vAlign w:val="center"/>
                </w:tcPr>
                <w:p>
                  <w:pPr>
                    <w:spacing w:line="240" w:lineRule="auto"/>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rPr>
                    <w:t>副屏蔽墙</w:t>
                  </w:r>
                </w:p>
              </w:tc>
              <w:tc>
                <w:tcPr>
                  <w:tcW w:w="1177" w:type="pct"/>
                  <w:tcBorders>
                    <w:right w:val="single" w:color="auto" w:sz="4" w:space="0"/>
                  </w:tcBorders>
                  <w:vAlign w:val="center"/>
                </w:tcPr>
                <w:p>
                  <w:pPr>
                    <w:spacing w:line="240" w:lineRule="auto"/>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1.7</w:t>
                  </w:r>
                  <w:r>
                    <w:rPr>
                      <w:rFonts w:hint="eastAsia" w:ascii="宋体" w:hAnsi="宋体" w:eastAsia="宋体" w:cs="宋体"/>
                      <w:color w:val="auto"/>
                      <w:kern w:val="0"/>
                      <w:sz w:val="21"/>
                      <w:szCs w:val="21"/>
                      <w:highlight w:val="none"/>
                    </w:rPr>
                    <w:t>m</w:t>
                  </w:r>
                  <w:r>
                    <w:rPr>
                      <w:rFonts w:hint="eastAsia" w:ascii="宋体" w:hAnsi="宋体" w:eastAsia="宋体" w:cs="宋体"/>
                      <w:color w:val="auto"/>
                      <w:kern w:val="0"/>
                      <w:sz w:val="21"/>
                      <w:szCs w:val="21"/>
                      <w:highlight w:val="none"/>
                      <w:lang w:val="en-US" w:eastAsia="zh-CN"/>
                    </w:rPr>
                    <w:t>厚</w:t>
                  </w:r>
                  <w:r>
                    <w:rPr>
                      <w:rFonts w:hint="eastAsia" w:ascii="宋体" w:hAnsi="宋体" w:eastAsia="宋体" w:cs="宋体"/>
                      <w:color w:val="auto"/>
                      <w:kern w:val="0"/>
                      <w:sz w:val="21"/>
                      <w:szCs w:val="21"/>
                      <w:highlight w:val="none"/>
                    </w:rPr>
                    <w:t>混凝土</w:t>
                  </w:r>
                </w:p>
              </w:tc>
              <w:tc>
                <w:tcPr>
                  <w:tcW w:w="2364" w:type="dxa"/>
                  <w:tcBorders>
                    <w:left w:val="single" w:color="auto" w:sz="4" w:space="0"/>
                  </w:tcBorders>
                  <w:vAlign w:val="center"/>
                </w:tcPr>
                <w:p>
                  <w:pPr>
                    <w:spacing w:line="240" w:lineRule="auto"/>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305</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exact"/>
                <w:jc w:val="center"/>
              </w:trPr>
              <w:tc>
                <w:tcPr>
                  <w:tcW w:w="679" w:type="pct"/>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lang w:val="en-US" w:eastAsia="zh-CN"/>
                    </w:rPr>
                    <w:t>北</w:t>
                  </w:r>
                  <w:r>
                    <w:rPr>
                      <w:rFonts w:hint="eastAsia" w:ascii="宋体" w:hAnsi="宋体" w:eastAsia="宋体" w:cs="宋体"/>
                      <w:color w:val="auto"/>
                      <w:kern w:val="0"/>
                      <w:sz w:val="21"/>
                      <w:szCs w:val="21"/>
                      <w:highlight w:val="none"/>
                    </w:rPr>
                    <w:t>侧</w:t>
                  </w:r>
                </w:p>
              </w:tc>
              <w:tc>
                <w:tcPr>
                  <w:tcW w:w="1789" w:type="pct"/>
                  <w:vAlign w:val="center"/>
                </w:tcPr>
                <w:p>
                  <w:pPr>
                    <w:spacing w:line="240" w:lineRule="auto"/>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rPr>
                    <w:t>屏蔽墙</w:t>
                  </w:r>
                </w:p>
              </w:tc>
              <w:tc>
                <w:tcPr>
                  <w:tcW w:w="1177" w:type="pct"/>
                  <w:tcBorders>
                    <w:right w:val="single" w:color="auto" w:sz="4" w:space="0"/>
                  </w:tcBorders>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lang w:val="en-US" w:eastAsia="zh-CN"/>
                    </w:rPr>
                    <w:t>1.5</w:t>
                  </w:r>
                  <w:r>
                    <w:rPr>
                      <w:rFonts w:hint="eastAsia" w:ascii="宋体" w:hAnsi="宋体" w:eastAsia="宋体" w:cs="宋体"/>
                      <w:color w:val="auto"/>
                      <w:kern w:val="0"/>
                      <w:sz w:val="21"/>
                      <w:szCs w:val="21"/>
                      <w:highlight w:val="none"/>
                    </w:rPr>
                    <w:t>m</w:t>
                  </w:r>
                  <w:r>
                    <w:rPr>
                      <w:rFonts w:hint="eastAsia" w:ascii="宋体" w:hAnsi="宋体" w:eastAsia="宋体" w:cs="宋体"/>
                      <w:color w:val="auto"/>
                      <w:kern w:val="0"/>
                      <w:sz w:val="21"/>
                      <w:szCs w:val="21"/>
                      <w:highlight w:val="none"/>
                      <w:lang w:val="en-US" w:eastAsia="zh-CN"/>
                    </w:rPr>
                    <w:t>厚</w:t>
                  </w:r>
                  <w:r>
                    <w:rPr>
                      <w:rFonts w:hint="eastAsia" w:ascii="宋体" w:hAnsi="宋体" w:eastAsia="宋体" w:cs="宋体"/>
                      <w:color w:val="auto"/>
                      <w:kern w:val="0"/>
                      <w:sz w:val="21"/>
                      <w:szCs w:val="21"/>
                      <w:highlight w:val="none"/>
                    </w:rPr>
                    <w:t>混凝土</w:t>
                  </w:r>
                </w:p>
              </w:tc>
              <w:tc>
                <w:tcPr>
                  <w:tcW w:w="1353" w:type="pct"/>
                  <w:tcBorders>
                    <w:left w:val="single" w:color="auto" w:sz="4" w:space="0"/>
                  </w:tcBorders>
                  <w:vAlign w:val="center"/>
                </w:tcPr>
                <w:p>
                  <w:pPr>
                    <w:spacing w:line="240" w:lineRule="auto"/>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268</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exact"/>
                <w:jc w:val="center"/>
              </w:trPr>
              <w:tc>
                <w:tcPr>
                  <w:tcW w:w="679" w:type="pct"/>
                  <w:vMerge w:val="restart"/>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顶棚</w:t>
                  </w:r>
                </w:p>
              </w:tc>
              <w:tc>
                <w:tcPr>
                  <w:tcW w:w="1789" w:type="pct"/>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主屏蔽墙</w:t>
                  </w:r>
                </w:p>
              </w:tc>
              <w:tc>
                <w:tcPr>
                  <w:tcW w:w="1177" w:type="pct"/>
                  <w:tcBorders>
                    <w:right w:val="single" w:color="auto" w:sz="4" w:space="0"/>
                  </w:tcBorders>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lang w:val="en-US" w:eastAsia="zh-CN"/>
                    </w:rPr>
                    <w:t>2.9</w:t>
                  </w:r>
                  <w:r>
                    <w:rPr>
                      <w:rFonts w:hint="eastAsia" w:ascii="宋体" w:hAnsi="宋体" w:eastAsia="宋体" w:cs="宋体"/>
                      <w:color w:val="auto"/>
                      <w:kern w:val="0"/>
                      <w:sz w:val="21"/>
                      <w:szCs w:val="21"/>
                      <w:highlight w:val="none"/>
                    </w:rPr>
                    <w:t>m</w:t>
                  </w:r>
                  <w:r>
                    <w:rPr>
                      <w:rFonts w:hint="eastAsia" w:ascii="宋体" w:hAnsi="宋体" w:eastAsia="宋体" w:cs="宋体"/>
                      <w:color w:val="auto"/>
                      <w:kern w:val="0"/>
                      <w:sz w:val="21"/>
                      <w:szCs w:val="21"/>
                      <w:highlight w:val="none"/>
                      <w:lang w:val="en-US" w:eastAsia="zh-CN"/>
                    </w:rPr>
                    <w:t>厚</w:t>
                  </w:r>
                  <w:r>
                    <w:rPr>
                      <w:rFonts w:hint="eastAsia" w:ascii="宋体" w:hAnsi="宋体" w:eastAsia="宋体" w:cs="宋体"/>
                      <w:color w:val="auto"/>
                      <w:kern w:val="0"/>
                      <w:sz w:val="21"/>
                      <w:szCs w:val="21"/>
                      <w:highlight w:val="none"/>
                    </w:rPr>
                    <w:t>混凝土</w:t>
                  </w:r>
                </w:p>
              </w:tc>
              <w:tc>
                <w:tcPr>
                  <w:tcW w:w="1353" w:type="pct"/>
                  <w:tcBorders>
                    <w:left w:val="single" w:color="auto" w:sz="4" w:space="0"/>
                  </w:tcBorders>
                  <w:vAlign w:val="center"/>
                </w:tcPr>
                <w:p>
                  <w:pPr>
                    <w:spacing w:line="240" w:lineRule="auto"/>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440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exact"/>
                <w:jc w:val="center"/>
              </w:trPr>
              <w:tc>
                <w:tcPr>
                  <w:tcW w:w="679" w:type="pct"/>
                  <w:vMerge w:val="continue"/>
                  <w:vAlign w:val="center"/>
                </w:tcPr>
                <w:p>
                  <w:pPr>
                    <w:spacing w:line="240" w:lineRule="auto"/>
                    <w:jc w:val="center"/>
                    <w:rPr>
                      <w:rFonts w:hint="eastAsia" w:ascii="宋体" w:hAnsi="宋体" w:eastAsia="宋体" w:cs="宋体"/>
                      <w:color w:val="auto"/>
                      <w:kern w:val="0"/>
                      <w:sz w:val="21"/>
                      <w:szCs w:val="21"/>
                      <w:highlight w:val="none"/>
                    </w:rPr>
                  </w:pPr>
                </w:p>
              </w:tc>
              <w:tc>
                <w:tcPr>
                  <w:tcW w:w="1789" w:type="pct"/>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副屏蔽墙</w:t>
                  </w:r>
                </w:p>
              </w:tc>
              <w:tc>
                <w:tcPr>
                  <w:tcW w:w="1177" w:type="pct"/>
                  <w:tcBorders>
                    <w:right w:val="single" w:color="auto" w:sz="4" w:space="0"/>
                  </w:tcBorders>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lang w:val="en-US" w:eastAsia="zh-CN"/>
                    </w:rPr>
                    <w:t>1.7</w:t>
                  </w:r>
                  <w:r>
                    <w:rPr>
                      <w:rFonts w:hint="eastAsia" w:ascii="宋体" w:hAnsi="宋体" w:eastAsia="宋体" w:cs="宋体"/>
                      <w:color w:val="auto"/>
                      <w:kern w:val="0"/>
                      <w:sz w:val="21"/>
                      <w:szCs w:val="21"/>
                      <w:highlight w:val="none"/>
                    </w:rPr>
                    <w:t>m</w:t>
                  </w:r>
                  <w:r>
                    <w:rPr>
                      <w:rFonts w:hint="eastAsia" w:ascii="宋体" w:hAnsi="宋体" w:eastAsia="宋体" w:cs="宋体"/>
                      <w:color w:val="auto"/>
                      <w:kern w:val="0"/>
                      <w:sz w:val="21"/>
                      <w:szCs w:val="21"/>
                      <w:highlight w:val="none"/>
                      <w:lang w:val="en-US" w:eastAsia="zh-CN"/>
                    </w:rPr>
                    <w:t>厚</w:t>
                  </w:r>
                  <w:r>
                    <w:rPr>
                      <w:rFonts w:hint="eastAsia" w:ascii="宋体" w:hAnsi="宋体" w:eastAsia="宋体" w:cs="宋体"/>
                      <w:color w:val="auto"/>
                      <w:kern w:val="0"/>
                      <w:sz w:val="21"/>
                      <w:szCs w:val="21"/>
                      <w:highlight w:val="none"/>
                    </w:rPr>
                    <w:t>混凝土</w:t>
                  </w:r>
                </w:p>
              </w:tc>
              <w:tc>
                <w:tcPr>
                  <w:tcW w:w="1353" w:type="pct"/>
                  <w:tcBorders>
                    <w:left w:val="single" w:color="auto" w:sz="4" w:space="0"/>
                  </w:tcBorders>
                  <w:vAlign w:val="center"/>
                </w:tcPr>
                <w:p>
                  <w:pPr>
                    <w:spacing w:line="240" w:lineRule="auto"/>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305</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exact"/>
                <w:jc w:val="center"/>
              </w:trPr>
              <w:tc>
                <w:tcPr>
                  <w:tcW w:w="2469" w:type="pct"/>
                  <w:gridSpan w:val="2"/>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防护门</w:t>
                  </w:r>
                </w:p>
              </w:tc>
              <w:tc>
                <w:tcPr>
                  <w:tcW w:w="1177" w:type="pct"/>
                  <w:tcBorders>
                    <w:right w:val="single" w:color="auto" w:sz="4" w:space="0"/>
                  </w:tcBorders>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lang w:val="en-US" w:eastAsia="zh-CN"/>
                    </w:rPr>
                    <w:t>20</w:t>
                  </w:r>
                  <w:r>
                    <w:rPr>
                      <w:rFonts w:hint="eastAsia" w:ascii="宋体" w:hAnsi="宋体" w:eastAsia="宋体" w:cs="宋体"/>
                      <w:color w:val="auto"/>
                      <w:kern w:val="0"/>
                      <w:sz w:val="21"/>
                      <w:szCs w:val="21"/>
                      <w:highlight w:val="none"/>
                    </w:rPr>
                    <w:t>mm</w:t>
                  </w:r>
                  <w:r>
                    <w:rPr>
                      <w:rFonts w:hint="eastAsia" w:ascii="宋体" w:hAnsi="宋体" w:eastAsia="宋体" w:cs="宋体"/>
                      <w:color w:val="auto"/>
                      <w:kern w:val="0"/>
                      <w:sz w:val="21"/>
                      <w:szCs w:val="21"/>
                      <w:highlight w:val="none"/>
                      <w:lang w:val="en-US" w:eastAsia="zh-CN"/>
                    </w:rPr>
                    <w:t>厚</w:t>
                  </w:r>
                  <w:r>
                    <w:rPr>
                      <w:rFonts w:hint="eastAsia" w:ascii="宋体" w:hAnsi="宋体" w:eastAsia="宋体" w:cs="宋体"/>
                      <w:color w:val="auto"/>
                      <w:kern w:val="0"/>
                      <w:sz w:val="21"/>
                      <w:szCs w:val="21"/>
                      <w:highlight w:val="none"/>
                    </w:rPr>
                    <w:t>铅板</w:t>
                  </w:r>
                </w:p>
              </w:tc>
              <w:tc>
                <w:tcPr>
                  <w:tcW w:w="1353" w:type="pct"/>
                  <w:tcBorders>
                    <w:left w:val="single" w:color="auto" w:sz="4" w:space="0"/>
                  </w:tcBorders>
                  <w:vAlign w:val="center"/>
                </w:tcPr>
                <w:p>
                  <w:pPr>
                    <w:spacing w:line="240" w:lineRule="auto"/>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20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exact"/>
                <w:jc w:val="center"/>
              </w:trPr>
              <w:tc>
                <w:tcPr>
                  <w:tcW w:w="2469" w:type="pct"/>
                  <w:gridSpan w:val="2"/>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治疗室净面积</w:t>
                  </w:r>
                </w:p>
              </w:tc>
              <w:tc>
                <w:tcPr>
                  <w:tcW w:w="2530" w:type="pct"/>
                  <w:gridSpan w:val="2"/>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lang w:val="en-US" w:eastAsia="zh-CN"/>
                    </w:rPr>
                    <w:t>56</w:t>
                  </w:r>
                  <w:r>
                    <w:rPr>
                      <w:rFonts w:hint="eastAsia" w:ascii="宋体" w:hAnsi="宋体" w:eastAsia="宋体" w:cs="宋体"/>
                      <w:color w:val="auto"/>
                      <w:kern w:val="0"/>
                      <w:sz w:val="21"/>
                      <w:szCs w:val="21"/>
                      <w:highlight w:val="none"/>
                    </w:rPr>
                    <w:t>m</w:t>
                  </w:r>
                  <w:r>
                    <w:rPr>
                      <w:rFonts w:hint="eastAsia" w:ascii="宋体" w:hAnsi="宋体" w:eastAsia="宋体" w:cs="宋体"/>
                      <w:color w:val="auto"/>
                      <w:kern w:val="0"/>
                      <w:sz w:val="21"/>
                      <w:szCs w:val="21"/>
                      <w:highlight w:val="none"/>
                      <w:vertAlign w:val="superscript"/>
                    </w:rPr>
                    <w:t>2</w:t>
                  </w:r>
                </w:p>
              </w:tc>
            </w:tr>
          </w:tbl>
          <w:p>
            <w:pPr>
              <w:spacing w:line="360" w:lineRule="auto"/>
              <w:ind w:firstLine="486" w:firstLineChars="200"/>
              <w:rPr>
                <w:rFonts w:hint="eastAsia" w:ascii="宋体" w:hAnsi="宋体" w:eastAsia="宋体" w:cs="宋体"/>
                <w:color w:val="auto"/>
                <w:spacing w:val="16"/>
                <w:kern w:val="0"/>
                <w:sz w:val="21"/>
                <w:szCs w:val="21"/>
                <w:highlight w:val="none"/>
                <w:lang w:val="en-US" w:eastAsia="zh-CN"/>
              </w:rPr>
            </w:pPr>
            <w:r>
              <w:rPr>
                <w:rFonts w:hint="eastAsia" w:ascii="宋体" w:hAnsi="宋体" w:eastAsia="宋体" w:cs="宋体"/>
                <w:b/>
                <w:bCs/>
                <w:color w:val="auto"/>
                <w:spacing w:val="16"/>
                <w:kern w:val="0"/>
                <w:sz w:val="21"/>
                <w:szCs w:val="21"/>
                <w:highlight w:val="none"/>
                <w:lang w:val="en-US" w:eastAsia="zh-CN"/>
              </w:rPr>
              <w:t>注：本项目机房屏蔽采用的混凝土密度不小于2385kg/m</w:t>
            </w:r>
            <w:r>
              <w:rPr>
                <w:rFonts w:hint="eastAsia" w:ascii="宋体" w:hAnsi="宋体" w:eastAsia="宋体" w:cs="宋体"/>
                <w:b/>
                <w:bCs/>
                <w:color w:val="auto"/>
                <w:spacing w:val="16"/>
                <w:kern w:val="0"/>
                <w:sz w:val="21"/>
                <w:szCs w:val="21"/>
                <w:highlight w:val="none"/>
                <w:vertAlign w:val="superscript"/>
                <w:lang w:val="en-US" w:eastAsia="zh-CN"/>
              </w:rPr>
              <w:t>3</w:t>
            </w:r>
            <w:r>
              <w:rPr>
                <w:rFonts w:hint="eastAsia" w:ascii="宋体" w:hAnsi="宋体" w:eastAsia="宋体" w:cs="宋体"/>
                <w:b/>
                <w:bCs/>
                <w:color w:val="auto"/>
                <w:spacing w:val="16"/>
                <w:kern w:val="0"/>
                <w:sz w:val="21"/>
                <w:szCs w:val="21"/>
                <w:highlight w:val="none"/>
                <w:lang w:val="en-US" w:eastAsia="zh-CN"/>
              </w:rPr>
              <w:t>。铅的什值层厚度依据NCRP No.151的附录B表B.2。</w:t>
            </w:r>
          </w:p>
          <w:p>
            <w:pPr>
              <w:spacing w:line="360" w:lineRule="auto"/>
              <w:ind w:firstLine="600"/>
              <w:rPr>
                <w:rFonts w:hint="eastAsia" w:ascii="宋体" w:hAnsi="宋体" w:eastAsia="宋体" w:cs="宋体"/>
                <w:color w:val="auto"/>
                <w:spacing w:val="16"/>
                <w:kern w:val="0"/>
                <w:sz w:val="24"/>
                <w:highlight w:val="none"/>
                <w:lang w:val="en-US" w:eastAsia="zh-CN"/>
              </w:rPr>
            </w:pPr>
            <w:r>
              <w:rPr>
                <w:rFonts w:hint="eastAsia" w:ascii="宋体" w:hAnsi="宋体" w:eastAsia="宋体" w:cs="宋体"/>
                <w:color w:val="auto"/>
                <w:spacing w:val="16"/>
                <w:kern w:val="0"/>
                <w:sz w:val="24"/>
                <w:highlight w:val="none"/>
              </w:rPr>
              <w:t>加速器机房拟采用上送下排的方式进行通风，加速器机房拟设置2个进风口，2个排风口，</w:t>
            </w:r>
            <w:r>
              <w:rPr>
                <w:rFonts w:hint="eastAsia" w:ascii="宋体" w:hAnsi="宋体" w:eastAsia="宋体" w:cs="宋体"/>
                <w:color w:val="auto"/>
                <w:spacing w:val="16"/>
                <w:kern w:val="0"/>
                <w:sz w:val="24"/>
                <w:highlight w:val="none"/>
                <w:lang w:val="en-US" w:eastAsia="zh-CN"/>
              </w:rPr>
              <w:t>进风口与排风口对角设置，通风换气次数大于4次/小时，</w:t>
            </w:r>
            <w:r>
              <w:rPr>
                <w:rFonts w:hint="eastAsia" w:ascii="宋体" w:hAnsi="宋体" w:eastAsia="宋体" w:cs="宋体"/>
                <w:color w:val="auto"/>
                <w:spacing w:val="16"/>
                <w:kern w:val="0"/>
                <w:sz w:val="24"/>
                <w:highlight w:val="none"/>
              </w:rPr>
              <w:t>有利于将加速器机房内密度高于空气</w:t>
            </w:r>
            <w:r>
              <w:rPr>
                <w:rFonts w:hint="eastAsia" w:ascii="宋体" w:hAnsi="宋体" w:eastAsia="宋体" w:cs="宋体"/>
                <w:color w:val="auto"/>
                <w:spacing w:val="16"/>
                <w:kern w:val="0"/>
                <w:sz w:val="24"/>
                <w:highlight w:val="none"/>
                <w:lang w:val="en-US" w:eastAsia="zh-CN"/>
              </w:rPr>
              <w:t>的</w:t>
            </w:r>
            <w:r>
              <w:rPr>
                <w:rFonts w:hint="eastAsia" w:ascii="宋体" w:hAnsi="宋体" w:eastAsia="宋体" w:cs="宋体"/>
                <w:color w:val="auto"/>
                <w:spacing w:val="16"/>
                <w:kern w:val="0"/>
                <w:sz w:val="24"/>
                <w:highlight w:val="none"/>
              </w:rPr>
              <w:t>O</w:t>
            </w:r>
            <w:r>
              <w:rPr>
                <w:rFonts w:hint="eastAsia" w:ascii="宋体" w:hAnsi="宋体" w:eastAsia="宋体" w:cs="宋体"/>
                <w:color w:val="auto"/>
                <w:spacing w:val="16"/>
                <w:kern w:val="0"/>
                <w:sz w:val="24"/>
                <w:highlight w:val="none"/>
                <w:vertAlign w:val="subscript"/>
              </w:rPr>
              <w:t>3</w:t>
            </w:r>
            <w:r>
              <w:rPr>
                <w:rFonts w:hint="eastAsia" w:ascii="宋体" w:hAnsi="宋体" w:eastAsia="宋体" w:cs="宋体"/>
                <w:color w:val="auto"/>
                <w:spacing w:val="16"/>
                <w:kern w:val="0"/>
                <w:sz w:val="24"/>
                <w:highlight w:val="none"/>
              </w:rPr>
              <w:t>等有害气体排出，并可对机房的空气及时进行更新</w:t>
            </w:r>
            <w:r>
              <w:rPr>
                <w:rFonts w:hint="eastAsia" w:ascii="宋体" w:hAnsi="宋体" w:eastAsia="宋体" w:cs="宋体"/>
                <w:color w:val="auto"/>
                <w:spacing w:val="16"/>
                <w:kern w:val="0"/>
                <w:sz w:val="24"/>
                <w:highlight w:val="none"/>
                <w:lang w:eastAsia="zh-CN"/>
              </w:rPr>
              <w:t>，</w:t>
            </w:r>
            <w:r>
              <w:rPr>
                <w:rFonts w:hint="eastAsia" w:ascii="宋体" w:hAnsi="宋体" w:eastAsia="宋体" w:cs="宋体"/>
                <w:color w:val="auto"/>
                <w:spacing w:val="16"/>
                <w:kern w:val="0"/>
                <w:sz w:val="24"/>
                <w:highlight w:val="none"/>
                <w:lang w:val="en-US" w:eastAsia="zh-CN"/>
              </w:rPr>
              <w:t>有害气体随排风系统排放，</w:t>
            </w:r>
            <w:r>
              <w:rPr>
                <w:rFonts w:hint="eastAsia" w:ascii="宋体" w:hAnsi="宋体" w:eastAsia="宋体" w:cs="宋体"/>
                <w:bCs/>
                <w:color w:val="auto"/>
                <w:sz w:val="24"/>
                <w:highlight w:val="none"/>
                <w:lang w:eastAsia="zh-CN"/>
              </w:rPr>
              <w:t>排风口属于无组织排放，排风口高于机房所在建筑顶部</w:t>
            </w:r>
            <w:r>
              <w:rPr>
                <w:rFonts w:hint="eastAsia" w:ascii="宋体" w:hAnsi="宋体" w:eastAsia="宋体" w:cs="宋体"/>
                <w:color w:val="auto"/>
                <w:spacing w:val="16"/>
                <w:kern w:val="0"/>
                <w:sz w:val="24"/>
                <w:highlight w:val="none"/>
              </w:rPr>
              <w:t>。</w:t>
            </w:r>
            <w:r>
              <w:rPr>
                <w:rFonts w:hint="eastAsia" w:ascii="宋体" w:hAnsi="宋体" w:eastAsia="宋体" w:cs="宋体"/>
                <w:color w:val="auto"/>
                <w:spacing w:val="16"/>
                <w:kern w:val="0"/>
                <w:sz w:val="24"/>
                <w:highlight w:val="none"/>
                <w:lang w:val="en-US" w:eastAsia="zh-CN"/>
              </w:rPr>
              <w:t>通风系统设置情况见附图6。</w:t>
            </w:r>
          </w:p>
          <w:p>
            <w:pPr>
              <w:spacing w:line="360" w:lineRule="auto"/>
              <w:ind w:firstLine="600"/>
              <w:rPr>
                <w:rFonts w:hint="eastAsia" w:ascii="宋体" w:hAnsi="宋体" w:eastAsia="宋体" w:cs="宋体"/>
                <w:b/>
                <w:bCs/>
                <w:color w:val="auto"/>
                <w:spacing w:val="16"/>
                <w:kern w:val="0"/>
                <w:sz w:val="24"/>
                <w:highlight w:val="none"/>
              </w:rPr>
            </w:pPr>
            <w:r>
              <w:rPr>
                <w:rFonts w:hint="eastAsia" w:ascii="宋体" w:hAnsi="宋体" w:eastAsia="宋体" w:cs="宋体"/>
                <w:b/>
                <w:bCs/>
                <w:color w:val="auto"/>
                <w:spacing w:val="16"/>
                <w:kern w:val="0"/>
                <w:sz w:val="24"/>
                <w:highlight w:val="none"/>
                <w:lang w:eastAsia="zh-CN"/>
              </w:rPr>
              <w:t>（</w:t>
            </w:r>
            <w:r>
              <w:rPr>
                <w:rFonts w:hint="eastAsia" w:ascii="宋体" w:hAnsi="宋体" w:eastAsia="宋体" w:cs="宋体"/>
                <w:b/>
                <w:bCs/>
                <w:color w:val="auto"/>
                <w:spacing w:val="16"/>
                <w:kern w:val="0"/>
                <w:sz w:val="24"/>
                <w:highlight w:val="none"/>
                <w:lang w:val="en-US" w:eastAsia="zh-CN"/>
              </w:rPr>
              <w:t>四</w:t>
            </w:r>
            <w:r>
              <w:rPr>
                <w:rFonts w:hint="eastAsia" w:ascii="宋体" w:hAnsi="宋体" w:eastAsia="宋体" w:cs="宋体"/>
                <w:b/>
                <w:bCs/>
                <w:color w:val="auto"/>
                <w:spacing w:val="16"/>
                <w:kern w:val="0"/>
                <w:sz w:val="24"/>
                <w:highlight w:val="none"/>
                <w:lang w:eastAsia="zh-CN"/>
              </w:rPr>
              <w:t>）</w:t>
            </w:r>
            <w:r>
              <w:rPr>
                <w:rFonts w:hint="eastAsia" w:ascii="宋体" w:hAnsi="宋体" w:eastAsia="宋体" w:cs="宋体"/>
                <w:b/>
                <w:bCs/>
                <w:color w:val="auto"/>
                <w:spacing w:val="16"/>
                <w:kern w:val="0"/>
                <w:sz w:val="24"/>
                <w:highlight w:val="none"/>
              </w:rPr>
              <w:t>辐射防护措施</w:t>
            </w:r>
          </w:p>
          <w:p>
            <w:pPr>
              <w:spacing w:line="360" w:lineRule="auto"/>
              <w:ind w:firstLine="600"/>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w:t>
            </w: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rPr>
              <w:t>加速器机房</w:t>
            </w: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rPr>
              <w:t>包括防护门</w:t>
            </w: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rPr>
              <w:t>拟采用实体屏蔽措施，能够保证</w:t>
            </w:r>
            <w:r>
              <w:rPr>
                <w:rFonts w:hint="eastAsia" w:ascii="宋体" w:hAnsi="宋体" w:eastAsia="宋体" w:cs="宋体"/>
                <w:color w:val="auto"/>
                <w:kern w:val="0"/>
                <w:sz w:val="24"/>
                <w:highlight w:val="none"/>
                <w:lang w:val="en-US" w:eastAsia="zh-CN"/>
              </w:rPr>
              <w:t>治疗机房墙</w:t>
            </w:r>
            <w:r>
              <w:rPr>
                <w:rFonts w:hint="eastAsia" w:ascii="宋体" w:hAnsi="宋体" w:eastAsia="宋体" w:cs="宋体"/>
                <w:color w:val="auto"/>
                <w:kern w:val="0"/>
                <w:sz w:val="24"/>
                <w:highlight w:val="none"/>
              </w:rPr>
              <w:t>和防护门外30cm处辐射剂量率</w:t>
            </w:r>
            <w:r>
              <w:rPr>
                <w:rFonts w:hint="eastAsia" w:ascii="宋体" w:hAnsi="宋体" w:eastAsia="宋体" w:cs="宋体"/>
                <w:color w:val="auto"/>
                <w:kern w:val="0"/>
                <w:sz w:val="24"/>
                <w:highlight w:val="none"/>
                <w:lang w:val="en-US" w:eastAsia="zh-CN"/>
              </w:rPr>
              <w:t>满足</w:t>
            </w:r>
            <w:r>
              <w:rPr>
                <w:rFonts w:hint="eastAsia" w:ascii="宋体" w:hAnsi="宋体" w:eastAsia="宋体" w:cs="宋体"/>
                <w:color w:val="auto"/>
                <w:sz w:val="24"/>
                <w:highlight w:val="none"/>
                <w:lang w:eastAsia="zh-CN"/>
              </w:rPr>
              <w:t>《放射治疗放射防护要求》（GBZ121-2020）</w:t>
            </w:r>
            <w:r>
              <w:rPr>
                <w:rFonts w:hint="eastAsia" w:ascii="宋体" w:hAnsi="宋体" w:eastAsia="宋体" w:cs="宋体"/>
                <w:color w:val="auto"/>
                <w:sz w:val="24"/>
                <w:highlight w:val="none"/>
                <w:lang w:val="en-US" w:eastAsia="zh-CN"/>
              </w:rPr>
              <w:t>的要求</w:t>
            </w: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lang w:val="en-US" w:eastAsia="zh-CN"/>
              </w:rPr>
              <w:t>有用线束照射方向的防护屏蔽满足主射线束的屏蔽要求，其余方向的防护屏蔽满足漏射线和散射线的屏蔽要求。</w:t>
            </w:r>
            <w:r>
              <w:rPr>
                <w:rFonts w:hint="eastAsia" w:ascii="宋体" w:hAnsi="宋体" w:eastAsia="宋体" w:cs="宋体"/>
                <w:color w:val="auto"/>
                <w:kern w:val="0"/>
                <w:sz w:val="24"/>
                <w:highlight w:val="none"/>
              </w:rPr>
              <w:t>辐射工作人员</w:t>
            </w:r>
            <w:r>
              <w:rPr>
                <w:rFonts w:hint="eastAsia" w:ascii="宋体" w:hAnsi="宋体" w:eastAsia="宋体" w:cs="宋体"/>
                <w:color w:val="auto"/>
                <w:kern w:val="0"/>
                <w:sz w:val="24"/>
                <w:highlight w:val="none"/>
                <w:lang w:val="en-US" w:eastAsia="zh-CN"/>
              </w:rPr>
              <w:t>受照剂量满足</w:t>
            </w:r>
            <w:r>
              <w:rPr>
                <w:rFonts w:hint="eastAsia" w:ascii="宋体" w:hAnsi="宋体" w:eastAsia="宋体" w:cs="宋体"/>
                <w:color w:val="auto"/>
                <w:sz w:val="24"/>
                <w:highlight w:val="none"/>
              </w:rPr>
              <w:t>《电离辐射防护与辐射源安全基本标准》(GB18871-2002)</w:t>
            </w:r>
            <w:r>
              <w:rPr>
                <w:rFonts w:hint="eastAsia" w:ascii="宋体" w:hAnsi="宋体" w:eastAsia="宋体" w:cs="宋体"/>
                <w:color w:val="auto"/>
                <w:sz w:val="24"/>
                <w:highlight w:val="none"/>
                <w:lang w:val="en-US" w:eastAsia="zh-CN"/>
              </w:rPr>
              <w:t>中职业照射约束限值的1/4，即</w:t>
            </w:r>
            <w:r>
              <w:rPr>
                <w:rFonts w:hint="eastAsia" w:ascii="宋体" w:hAnsi="宋体" w:eastAsia="宋体" w:cs="宋体"/>
                <w:color w:val="auto"/>
                <w:kern w:val="0"/>
                <w:sz w:val="24"/>
                <w:highlight w:val="none"/>
                <w:lang w:val="en-US" w:eastAsia="zh-CN"/>
              </w:rPr>
              <w:t>不大于5mSv/a；</w:t>
            </w:r>
            <w:r>
              <w:rPr>
                <w:rFonts w:hint="eastAsia" w:ascii="宋体" w:hAnsi="宋体" w:eastAsia="宋体" w:cs="宋体"/>
                <w:color w:val="auto"/>
                <w:kern w:val="0"/>
                <w:sz w:val="24"/>
                <w:highlight w:val="none"/>
              </w:rPr>
              <w:t>公众的受照剂量</w:t>
            </w:r>
            <w:r>
              <w:rPr>
                <w:rFonts w:hint="eastAsia" w:ascii="宋体" w:hAnsi="宋体" w:eastAsia="宋体" w:cs="宋体"/>
                <w:color w:val="auto"/>
                <w:kern w:val="0"/>
                <w:sz w:val="24"/>
                <w:highlight w:val="none"/>
                <w:lang w:val="en-US" w:eastAsia="zh-CN"/>
              </w:rPr>
              <w:t>满足</w:t>
            </w:r>
            <w:r>
              <w:rPr>
                <w:rFonts w:hint="eastAsia" w:ascii="宋体" w:hAnsi="宋体" w:eastAsia="宋体" w:cs="宋体"/>
                <w:color w:val="auto"/>
                <w:sz w:val="24"/>
                <w:highlight w:val="none"/>
              </w:rPr>
              <w:t>《电离辐射防护与辐射源安全基本标准》(GB18871-2002)</w:t>
            </w:r>
            <w:r>
              <w:rPr>
                <w:rFonts w:hint="eastAsia" w:ascii="宋体" w:hAnsi="宋体" w:eastAsia="宋体" w:cs="宋体"/>
                <w:color w:val="auto"/>
                <w:sz w:val="24"/>
                <w:highlight w:val="none"/>
                <w:lang w:val="en-US" w:eastAsia="zh-CN"/>
              </w:rPr>
              <w:t>中公众照射约束限值的1/10，即</w:t>
            </w:r>
            <w:r>
              <w:rPr>
                <w:rFonts w:hint="eastAsia" w:ascii="宋体" w:hAnsi="宋体" w:eastAsia="宋体" w:cs="宋体"/>
                <w:color w:val="auto"/>
                <w:kern w:val="0"/>
                <w:sz w:val="24"/>
                <w:highlight w:val="none"/>
                <w:lang w:val="en-US" w:eastAsia="zh-CN"/>
              </w:rPr>
              <w:t>不大于0.1mSv/a</w:t>
            </w:r>
            <w:r>
              <w:rPr>
                <w:rFonts w:hint="eastAsia" w:ascii="宋体" w:hAnsi="宋体" w:eastAsia="宋体" w:cs="宋体"/>
                <w:color w:val="auto"/>
                <w:kern w:val="0"/>
                <w:sz w:val="24"/>
                <w:highlight w:val="none"/>
              </w:rPr>
              <w:t>。</w:t>
            </w:r>
          </w:p>
          <w:p>
            <w:pPr>
              <w:spacing w:line="360" w:lineRule="auto"/>
              <w:ind w:firstLine="600"/>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highlight w:val="none"/>
              </w:rPr>
              <w:t>2</w:t>
            </w: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rPr>
              <w:t>加速器放射工作场所拟实行分区管理：加速器机房</w:t>
            </w:r>
            <w:r>
              <w:rPr>
                <w:rFonts w:hint="eastAsia" w:ascii="宋体" w:hAnsi="宋体" w:eastAsia="宋体" w:cs="宋体"/>
                <w:color w:val="auto"/>
                <w:kern w:val="0"/>
                <w:sz w:val="24"/>
                <w:highlight w:val="none"/>
                <w:lang w:val="en-US" w:eastAsia="zh-CN"/>
              </w:rPr>
              <w:t>及其迷路设置</w:t>
            </w:r>
            <w:r>
              <w:rPr>
                <w:rFonts w:hint="eastAsia" w:ascii="宋体" w:hAnsi="宋体" w:eastAsia="宋体" w:cs="宋体"/>
                <w:color w:val="auto"/>
                <w:kern w:val="0"/>
                <w:sz w:val="24"/>
                <w:highlight w:val="none"/>
              </w:rPr>
              <w:t>为控制区，</w:t>
            </w:r>
            <w:r>
              <w:rPr>
                <w:rFonts w:hint="eastAsia" w:ascii="宋体" w:hAnsi="宋体" w:eastAsia="宋体" w:cs="宋体"/>
                <w:color w:val="auto"/>
                <w:kern w:val="0"/>
                <w:sz w:val="24"/>
                <w:highlight w:val="none"/>
                <w:lang w:val="en-US" w:eastAsia="zh-CN"/>
              </w:rPr>
              <w:t>走廊、水冷机房、设备机房、各个方向屏蔽墙外2m区域设置</w:t>
            </w:r>
            <w:r>
              <w:rPr>
                <w:rFonts w:hint="eastAsia" w:ascii="宋体" w:hAnsi="宋体" w:eastAsia="宋体" w:cs="宋体"/>
                <w:color w:val="auto"/>
                <w:kern w:val="0"/>
                <w:sz w:val="24"/>
                <w:highlight w:val="none"/>
              </w:rPr>
              <w:t>为监督</w:t>
            </w:r>
            <w:r>
              <w:rPr>
                <w:rFonts w:hint="eastAsia" w:ascii="宋体" w:hAnsi="宋体" w:eastAsia="宋体" w:cs="宋体"/>
                <w:color w:val="auto"/>
                <w:kern w:val="0"/>
                <w:sz w:val="24"/>
                <w:szCs w:val="24"/>
                <w:highlight w:val="none"/>
              </w:rPr>
              <w:t>区。</w:t>
            </w:r>
          </w:p>
          <w:p>
            <w:pPr>
              <w:spacing w:line="360" w:lineRule="auto"/>
              <w:ind w:firstLine="600"/>
              <w:rPr>
                <w:rFonts w:hint="eastAsia" w:ascii="宋体" w:hAnsi="宋体" w:eastAsia="宋体" w:cs="宋体"/>
                <w:color w:val="auto"/>
                <w:highlight w:val="none"/>
                <w:lang w:val="en-US" w:eastAsia="zh-CN"/>
              </w:rPr>
            </w:pPr>
            <w:r>
              <w:rPr>
                <w:rFonts w:hint="eastAsia" w:ascii="宋体" w:hAnsi="宋体" w:eastAsia="宋体" w:cs="宋体"/>
                <w:color w:val="auto"/>
                <w:kern w:val="0"/>
                <w:sz w:val="24"/>
                <w:highlight w:val="none"/>
              </w:rPr>
              <w:t>3</w:t>
            </w: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lang w:val="en-US" w:eastAsia="zh-CN"/>
              </w:rPr>
              <w:t>本项目控制室与加速器机房分开设置，设备机房等与可以与加速器分离的均设置于加速器机房外。</w:t>
            </w:r>
          </w:p>
          <w:p>
            <w:pPr>
              <w:spacing w:line="360" w:lineRule="auto"/>
              <w:ind w:firstLine="600"/>
              <w:rPr>
                <w:rFonts w:hint="eastAsia" w:ascii="宋体" w:hAnsi="宋体" w:eastAsia="宋体" w:cs="宋体"/>
                <w:color w:val="auto"/>
                <w:kern w:val="0"/>
                <w:sz w:val="24"/>
                <w:highlight w:val="none"/>
                <w:lang w:eastAsia="zh-CN"/>
              </w:rPr>
            </w:pPr>
            <w:r>
              <w:rPr>
                <w:rFonts w:hint="eastAsia" w:ascii="宋体" w:hAnsi="宋体" w:eastAsia="宋体" w:cs="宋体"/>
                <w:color w:val="auto"/>
                <w:kern w:val="0"/>
                <w:sz w:val="24"/>
                <w:highlight w:val="none"/>
                <w:lang w:val="en-US" w:eastAsia="zh-CN"/>
              </w:rPr>
              <w:t>4）本项目</w:t>
            </w:r>
            <w:r>
              <w:rPr>
                <w:rFonts w:hint="eastAsia" w:ascii="宋体" w:hAnsi="宋体" w:eastAsia="宋体" w:cs="宋体"/>
                <w:color w:val="auto"/>
                <w:spacing w:val="16"/>
                <w:kern w:val="0"/>
                <w:sz w:val="24"/>
                <w:highlight w:val="none"/>
              </w:rPr>
              <w:t>加速器治疗室净面积为</w:t>
            </w:r>
            <w:r>
              <w:rPr>
                <w:rFonts w:hint="eastAsia" w:ascii="宋体" w:hAnsi="宋体" w:eastAsia="宋体" w:cs="宋体"/>
                <w:color w:val="auto"/>
                <w:spacing w:val="16"/>
                <w:kern w:val="0"/>
                <w:sz w:val="24"/>
                <w:highlight w:val="none"/>
                <w:lang w:val="en-US" w:eastAsia="zh-CN"/>
              </w:rPr>
              <w:t>56</w:t>
            </w:r>
            <w:r>
              <w:rPr>
                <w:rFonts w:hint="eastAsia" w:ascii="宋体" w:hAnsi="宋体" w:eastAsia="宋体" w:cs="宋体"/>
                <w:color w:val="auto"/>
                <w:spacing w:val="16"/>
                <w:kern w:val="0"/>
                <w:sz w:val="24"/>
                <w:highlight w:val="none"/>
              </w:rPr>
              <w:t>m</w:t>
            </w:r>
            <w:r>
              <w:rPr>
                <w:rFonts w:hint="eastAsia" w:ascii="宋体" w:hAnsi="宋体" w:eastAsia="宋体" w:cs="宋体"/>
                <w:color w:val="auto"/>
                <w:spacing w:val="16"/>
                <w:kern w:val="0"/>
                <w:sz w:val="24"/>
                <w:highlight w:val="none"/>
                <w:vertAlign w:val="superscript"/>
              </w:rPr>
              <w:t>2</w:t>
            </w:r>
            <w:r>
              <w:rPr>
                <w:rFonts w:hint="eastAsia" w:ascii="宋体" w:hAnsi="宋体" w:eastAsia="宋体" w:cs="宋体"/>
                <w:color w:val="auto"/>
                <w:spacing w:val="16"/>
                <w:kern w:val="0"/>
                <w:sz w:val="24"/>
                <w:highlight w:val="none"/>
              </w:rPr>
              <w:t>，</w:t>
            </w:r>
            <w:r>
              <w:rPr>
                <w:rFonts w:hint="eastAsia" w:ascii="宋体" w:hAnsi="宋体" w:eastAsia="宋体" w:cs="宋体"/>
                <w:color w:val="auto"/>
                <w:spacing w:val="16"/>
                <w:kern w:val="0"/>
                <w:sz w:val="24"/>
                <w:highlight w:val="none"/>
                <w:lang w:val="en-US" w:eastAsia="zh-CN"/>
              </w:rPr>
              <w:t>满足</w:t>
            </w:r>
            <w:r>
              <w:rPr>
                <w:rFonts w:hint="eastAsia" w:ascii="宋体" w:hAnsi="宋体" w:eastAsia="宋体" w:cs="宋体"/>
                <w:color w:val="auto"/>
                <w:sz w:val="24"/>
                <w:highlight w:val="none"/>
                <w:lang w:eastAsia="zh-CN"/>
              </w:rPr>
              <w:t>《放射治疗放射防护要求》（GBZ121-2020）</w:t>
            </w:r>
            <w:r>
              <w:rPr>
                <w:rFonts w:hint="eastAsia" w:ascii="宋体" w:hAnsi="宋体" w:eastAsia="宋体" w:cs="宋体"/>
                <w:color w:val="auto"/>
                <w:sz w:val="24"/>
                <w:highlight w:val="none"/>
              </w:rPr>
              <w:t>中“放射治疗机房应有足够的有效使用空间，以确保放射治疗设备的临床应用需要”的要求</w:t>
            </w:r>
            <w:r>
              <w:rPr>
                <w:rFonts w:hint="eastAsia" w:ascii="宋体" w:hAnsi="宋体" w:eastAsia="宋体" w:cs="宋体"/>
                <w:color w:val="auto"/>
                <w:kern w:val="0"/>
                <w:sz w:val="24"/>
                <w:highlight w:val="none"/>
              </w:rPr>
              <w:t xml:space="preserve"> </w:t>
            </w:r>
            <w:r>
              <w:rPr>
                <w:rFonts w:hint="eastAsia" w:ascii="宋体" w:hAnsi="宋体" w:eastAsia="宋体" w:cs="宋体"/>
                <w:color w:val="auto"/>
                <w:kern w:val="0"/>
                <w:sz w:val="24"/>
                <w:highlight w:val="none"/>
                <w:lang w:eastAsia="zh-CN"/>
              </w:rPr>
              <w:t>。</w:t>
            </w:r>
          </w:p>
          <w:p>
            <w:pPr>
              <w:spacing w:line="360" w:lineRule="auto"/>
              <w:ind w:firstLine="600"/>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5）</w:t>
            </w:r>
            <w:r>
              <w:rPr>
                <w:rFonts w:hint="eastAsia" w:ascii="宋体" w:hAnsi="宋体" w:eastAsia="宋体" w:cs="宋体"/>
                <w:color w:val="auto"/>
                <w:kern w:val="0"/>
                <w:sz w:val="24"/>
                <w:highlight w:val="none"/>
              </w:rPr>
              <w:t>在加速器防护门外拟设立电离辐射警告标志和中文警示说明</w:t>
            </w: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rPr>
              <w:t>安装工作状态指示灯，并和设备出束关联。</w:t>
            </w:r>
            <w:r>
              <w:rPr>
                <w:rFonts w:hint="eastAsia" w:ascii="宋体" w:hAnsi="宋体" w:eastAsia="宋体" w:cs="宋体"/>
                <w:color w:val="auto"/>
                <w:kern w:val="0"/>
                <w:sz w:val="24"/>
                <w:highlight w:val="none"/>
                <w:lang w:val="en-US" w:eastAsia="zh-CN"/>
              </w:rPr>
              <w:t>在加速器工作场所入口处设置电离辐射警告标志。</w:t>
            </w:r>
          </w:p>
          <w:p>
            <w:pPr>
              <w:spacing w:line="360" w:lineRule="auto"/>
              <w:ind w:firstLine="600"/>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6</w:t>
            </w: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rPr>
              <w:t>安装电视监控、对讲系统，在治疗过程中能够观察病人状况，</w:t>
            </w:r>
            <w:r>
              <w:rPr>
                <w:rFonts w:hint="eastAsia" w:ascii="宋体" w:hAnsi="宋体" w:eastAsia="宋体" w:cs="宋体"/>
                <w:color w:val="auto"/>
                <w:kern w:val="0"/>
                <w:sz w:val="24"/>
                <w:highlight w:val="none"/>
                <w:lang w:val="en-US" w:eastAsia="zh-CN"/>
              </w:rPr>
              <w:t>便于操作者和患者进行双向交流。</w:t>
            </w:r>
            <w:r>
              <w:rPr>
                <w:rFonts w:hint="eastAsia" w:ascii="宋体" w:hAnsi="宋体" w:eastAsia="宋体" w:cs="宋体"/>
                <w:color w:val="auto"/>
                <w:kern w:val="0"/>
                <w:sz w:val="24"/>
                <w:highlight w:val="none"/>
              </w:rPr>
              <w:t>此外，也可以观察治疗室是否有人员滞留。</w:t>
            </w:r>
          </w:p>
          <w:p>
            <w:pPr>
              <w:spacing w:line="360" w:lineRule="auto"/>
              <w:ind w:firstLine="600"/>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7</w:t>
            </w: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lang w:val="en-US" w:eastAsia="zh-CN"/>
              </w:rPr>
              <w:t>在加速器机房迷道的内入口处设置固定式辐射剂量监测仪，该监测仪应具备异常情况下报警功能，其显示单元设置在控制室内。</w:t>
            </w:r>
          </w:p>
          <w:p>
            <w:pPr>
              <w:spacing w:line="360" w:lineRule="auto"/>
              <w:ind w:firstLine="600"/>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8</w:t>
            </w: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rPr>
              <w:t>治疗系统采用数字密码或者专用钥匙启动，有专人操作设备。</w:t>
            </w:r>
          </w:p>
          <w:p>
            <w:pPr>
              <w:spacing w:line="360" w:lineRule="auto"/>
              <w:ind w:firstLine="600"/>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9</w:t>
            </w:r>
            <w:r>
              <w:rPr>
                <w:rFonts w:hint="eastAsia" w:ascii="宋体" w:hAnsi="宋体" w:eastAsia="宋体" w:cs="宋体"/>
                <w:color w:val="auto"/>
                <w:kern w:val="0"/>
                <w:sz w:val="24"/>
                <w:highlight w:val="none"/>
              </w:rPr>
              <w:t>）设置门机安全联锁：只有当防护门关闭，设备才能启动出束；反之，如果照射过程中防护门打开，系统将自动停止出束。</w:t>
            </w:r>
            <w:r>
              <w:rPr>
                <w:rFonts w:hint="eastAsia" w:ascii="宋体" w:hAnsi="宋体" w:eastAsia="宋体" w:cs="宋体"/>
                <w:color w:val="auto"/>
                <w:kern w:val="0"/>
                <w:sz w:val="24"/>
                <w:highlight w:val="none"/>
                <w:lang w:val="en-US" w:eastAsia="zh-CN"/>
              </w:rPr>
              <w:t>加速器机房拟设置从室内开启机房门的装置，防护门具有防夹伤功能。</w:t>
            </w:r>
          </w:p>
          <w:p>
            <w:pPr>
              <w:numPr>
                <w:ilvl w:val="0"/>
                <w:numId w:val="0"/>
              </w:numPr>
              <w:spacing w:line="360" w:lineRule="auto"/>
              <w:ind w:firstLine="480" w:firstLineChars="200"/>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en-US" w:eastAsia="zh-CN"/>
              </w:rPr>
              <w:t>10</w:t>
            </w:r>
            <w:r>
              <w:rPr>
                <w:rFonts w:hint="eastAsia" w:ascii="宋体" w:hAnsi="宋体" w:eastAsia="宋体" w:cs="宋体"/>
                <w:color w:val="auto"/>
                <w:kern w:val="0"/>
                <w:sz w:val="24"/>
                <w:highlight w:val="none"/>
              </w:rPr>
              <w:t>）</w:t>
            </w:r>
            <w:r>
              <w:rPr>
                <w:rFonts w:hint="eastAsia" w:ascii="宋体" w:hAnsi="宋体" w:eastAsia="宋体" w:cs="宋体"/>
                <w:color w:val="auto"/>
                <w:sz w:val="24"/>
                <w:highlight w:val="none"/>
                <w:lang w:val="en-US" w:eastAsia="zh-CN"/>
              </w:rPr>
              <w:t>设置</w:t>
            </w:r>
            <w:r>
              <w:rPr>
                <w:rFonts w:hint="eastAsia" w:ascii="宋体" w:hAnsi="宋体" w:eastAsia="宋体" w:cs="宋体"/>
                <w:color w:val="auto"/>
                <w:sz w:val="24"/>
                <w:highlight w:val="none"/>
              </w:rPr>
              <w:t>紧急停机</w:t>
            </w:r>
            <w:r>
              <w:rPr>
                <w:rFonts w:hint="eastAsia" w:ascii="宋体" w:hAnsi="宋体" w:eastAsia="宋体" w:cs="宋体"/>
                <w:color w:val="auto"/>
                <w:sz w:val="24"/>
                <w:highlight w:val="none"/>
                <w:lang w:val="en-US" w:eastAsia="zh-CN"/>
              </w:rPr>
              <w:t>开关（急停按钮）</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分别</w:t>
            </w:r>
            <w:r>
              <w:rPr>
                <w:rFonts w:hint="eastAsia" w:ascii="宋体" w:hAnsi="宋体" w:eastAsia="宋体" w:cs="宋体"/>
                <w:color w:val="auto"/>
                <w:sz w:val="24"/>
                <w:highlight w:val="none"/>
              </w:rPr>
              <w:t>安装在</w:t>
            </w:r>
            <w:r>
              <w:rPr>
                <w:rFonts w:hint="eastAsia" w:ascii="宋体" w:hAnsi="宋体" w:eastAsia="宋体" w:cs="宋体"/>
                <w:color w:val="auto"/>
                <w:sz w:val="24"/>
                <w:highlight w:val="none"/>
                <w:lang w:val="en-US" w:eastAsia="zh-CN"/>
              </w:rPr>
              <w:t>操作间</w:t>
            </w:r>
            <w:r>
              <w:rPr>
                <w:rFonts w:hint="eastAsia" w:ascii="宋体" w:hAnsi="宋体" w:eastAsia="宋体" w:cs="宋体"/>
                <w:color w:val="auto"/>
                <w:sz w:val="24"/>
                <w:highlight w:val="none"/>
              </w:rPr>
              <w:t>的操作台</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控制台</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rPr>
              <w:t>、加速器设备上、</w:t>
            </w:r>
            <w:r>
              <w:rPr>
                <w:rFonts w:hint="eastAsia" w:ascii="宋体" w:hAnsi="宋体" w:eastAsia="宋体" w:cs="宋体"/>
                <w:color w:val="auto"/>
                <w:sz w:val="24"/>
                <w:highlight w:val="none"/>
                <w:lang w:eastAsia="zh-CN"/>
              </w:rPr>
              <w:t>加速器机房</w:t>
            </w:r>
            <w:r>
              <w:rPr>
                <w:rFonts w:hint="eastAsia" w:ascii="宋体" w:hAnsi="宋体" w:eastAsia="宋体" w:cs="宋体"/>
                <w:color w:val="auto"/>
                <w:sz w:val="24"/>
                <w:highlight w:val="none"/>
              </w:rPr>
              <w:t>的墙壁上和迷道内，</w:t>
            </w:r>
            <w:r>
              <w:rPr>
                <w:rFonts w:hint="eastAsia" w:ascii="宋体" w:hAnsi="宋体" w:eastAsia="宋体" w:cs="宋体"/>
                <w:color w:val="auto"/>
                <w:sz w:val="24"/>
                <w:highlight w:val="none"/>
                <w:lang w:val="en-US" w:eastAsia="zh-CN"/>
              </w:rPr>
              <w:t>距离地面为1.7m，</w:t>
            </w:r>
            <w:r>
              <w:rPr>
                <w:rFonts w:hint="eastAsia" w:ascii="宋体" w:hAnsi="宋体" w:eastAsia="宋体" w:cs="宋体"/>
                <w:color w:val="auto"/>
                <w:sz w:val="24"/>
                <w:highlight w:val="none"/>
              </w:rPr>
              <w:t>并有明显的标志，当遇到意外情况，可随时按动紧急停机按钮，切断设备高压，停止出束。紧急停止开关必须采用手动方式才能复位。</w:t>
            </w:r>
            <w:r>
              <w:rPr>
                <w:rFonts w:hint="eastAsia" w:ascii="宋体" w:hAnsi="宋体" w:eastAsia="宋体" w:cs="宋体"/>
                <w:color w:val="auto"/>
                <w:sz w:val="24"/>
                <w:highlight w:val="none"/>
                <w:lang w:val="en-US" w:eastAsia="zh-CN"/>
              </w:rPr>
              <w:t>急停</w:t>
            </w:r>
            <w:r>
              <w:rPr>
                <w:rFonts w:hint="eastAsia" w:ascii="宋体" w:hAnsi="宋体" w:eastAsia="宋体" w:cs="宋体"/>
                <w:color w:val="auto"/>
                <w:sz w:val="24"/>
                <w:highlight w:val="none"/>
              </w:rPr>
              <w:t>按钮的设置见附图</w:t>
            </w:r>
            <w:r>
              <w:rPr>
                <w:rFonts w:hint="eastAsia" w:ascii="宋体" w:hAnsi="宋体" w:eastAsia="宋体" w:cs="宋体"/>
                <w:color w:val="auto"/>
                <w:sz w:val="24"/>
                <w:highlight w:val="none"/>
                <w:lang w:val="en-US" w:eastAsia="zh-CN"/>
              </w:rPr>
              <w:t>5</w:t>
            </w:r>
            <w:r>
              <w:rPr>
                <w:rFonts w:hint="eastAsia" w:ascii="宋体" w:hAnsi="宋体" w:eastAsia="宋体" w:cs="宋体"/>
                <w:color w:val="auto"/>
                <w:sz w:val="24"/>
                <w:highlight w:val="none"/>
              </w:rPr>
              <w:t>。</w:t>
            </w:r>
          </w:p>
          <w:p>
            <w:pPr>
              <w:spacing w:line="360" w:lineRule="auto"/>
              <w:ind w:firstLine="600"/>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11</w:t>
            </w:r>
            <w:r>
              <w:rPr>
                <w:rFonts w:hint="eastAsia" w:ascii="宋体" w:hAnsi="宋体" w:eastAsia="宋体" w:cs="宋体"/>
                <w:color w:val="auto"/>
                <w:kern w:val="0"/>
                <w:sz w:val="24"/>
                <w:highlight w:val="none"/>
              </w:rPr>
              <w:t>）门控按钮</w:t>
            </w:r>
            <w:r>
              <w:rPr>
                <w:rFonts w:hint="eastAsia" w:ascii="宋体" w:hAnsi="宋体" w:eastAsia="宋体" w:cs="宋体"/>
                <w:color w:val="auto"/>
                <w:kern w:val="0"/>
                <w:sz w:val="24"/>
                <w:highlight w:val="none"/>
                <w:lang w:val="en-US" w:eastAsia="zh-CN"/>
              </w:rPr>
              <w:t>设置</w:t>
            </w: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lang w:val="en-US" w:eastAsia="zh-CN"/>
              </w:rPr>
              <w:t>在防护门外旁侧安装关门按钮（无开门功能），在防护门内侧迷道墙壁上安装开门按钮（无关门功能），在控制室内设开、关门按钮。</w:t>
            </w:r>
          </w:p>
          <w:p>
            <w:pPr>
              <w:spacing w:line="360" w:lineRule="auto"/>
              <w:ind w:firstLine="600"/>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1</w:t>
            </w:r>
            <w:r>
              <w:rPr>
                <w:rFonts w:hint="eastAsia" w:ascii="宋体" w:hAnsi="宋体" w:eastAsia="宋体" w:cs="宋体"/>
                <w:color w:val="auto"/>
                <w:kern w:val="0"/>
                <w:sz w:val="24"/>
                <w:highlight w:val="none"/>
                <w:lang w:val="en-US" w:eastAsia="zh-CN"/>
              </w:rPr>
              <w:t>2</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en-US" w:eastAsia="zh-CN"/>
              </w:rPr>
              <w:t>加速器机房</w:t>
            </w:r>
            <w:r>
              <w:rPr>
                <w:rFonts w:hint="eastAsia" w:ascii="宋体" w:hAnsi="宋体" w:eastAsia="宋体" w:cs="宋体"/>
                <w:color w:val="auto"/>
                <w:kern w:val="0"/>
                <w:sz w:val="24"/>
                <w:highlight w:val="none"/>
              </w:rPr>
              <w:t>内安装</w:t>
            </w:r>
            <w:r>
              <w:rPr>
                <w:rFonts w:hint="eastAsia" w:ascii="宋体" w:hAnsi="宋体" w:eastAsia="宋体" w:cs="宋体"/>
                <w:color w:val="auto"/>
                <w:kern w:val="0"/>
                <w:sz w:val="24"/>
                <w:highlight w:val="none"/>
                <w:lang w:val="en-US" w:eastAsia="zh-CN"/>
              </w:rPr>
              <w:t>强制排风系统，进风口设置在加速器机房的上部，排放口设置在加速器机房下部，且进风口与排风口位置对角设置，</w:t>
            </w:r>
            <w:r>
              <w:rPr>
                <w:rFonts w:hint="eastAsia" w:ascii="宋体" w:hAnsi="宋体" w:eastAsia="宋体" w:cs="宋体"/>
                <w:color w:val="auto"/>
                <w:kern w:val="0"/>
                <w:sz w:val="24"/>
                <w:highlight w:val="none"/>
              </w:rPr>
              <w:t>换气次数不低于4次/</w:t>
            </w:r>
            <w:r>
              <w:rPr>
                <w:rFonts w:hint="eastAsia" w:ascii="宋体" w:hAnsi="宋体" w:eastAsia="宋体" w:cs="宋体"/>
                <w:color w:val="auto"/>
                <w:kern w:val="0"/>
                <w:sz w:val="24"/>
                <w:highlight w:val="none"/>
                <w:lang w:val="en-US" w:eastAsia="zh-CN"/>
              </w:rPr>
              <w:t>h。进风管道和排风管道通过迷道上方，采用“Z”方式穿出机房。排风口高过建筑楼顶。</w:t>
            </w:r>
          </w:p>
          <w:p>
            <w:pPr>
              <w:spacing w:line="360" w:lineRule="auto"/>
              <w:ind w:firstLine="600"/>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w:t>
            </w:r>
            <w:r>
              <w:rPr>
                <w:rFonts w:hint="eastAsia" w:ascii="宋体" w:hAnsi="宋体" w:eastAsia="宋体" w:cs="宋体"/>
                <w:color w:val="auto"/>
                <w:kern w:val="0"/>
                <w:sz w:val="24"/>
                <w:highlight w:val="none"/>
                <w:lang w:val="en-US" w:eastAsia="zh-CN"/>
              </w:rPr>
              <w:t>3</w:t>
            </w: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lang w:val="en-US" w:eastAsia="zh-CN"/>
              </w:rPr>
              <w:t>项目防护门采用推拉门，防护门与墙之间要设置足够的搭接宽度（本次环评要求搭接宽度大于</w:t>
            </w:r>
            <w:r>
              <w:rPr>
                <w:rFonts w:hint="eastAsia" w:ascii="宋体" w:hAnsi="宋体" w:eastAsia="宋体" w:cs="宋体"/>
                <w:color w:val="auto"/>
                <w:kern w:val="0"/>
                <w:sz w:val="24"/>
                <w:szCs w:val="24"/>
                <w:lang w:val="en-US" w:eastAsia="zh-CN" w:bidi="ar-SA"/>
              </w:rPr>
              <w:t>十倍门体与墙体间隙</w:t>
            </w:r>
            <w:r>
              <w:rPr>
                <w:rFonts w:hint="eastAsia" w:ascii="宋体" w:hAnsi="宋体" w:eastAsia="宋体" w:cs="宋体"/>
                <w:color w:val="auto"/>
                <w:kern w:val="0"/>
                <w:sz w:val="24"/>
                <w:highlight w:val="none"/>
                <w:lang w:val="en-US" w:eastAsia="zh-CN"/>
              </w:rPr>
              <w:t>），以满足辐射防护要求。</w:t>
            </w:r>
          </w:p>
          <w:p>
            <w:pPr>
              <w:spacing w:line="360" w:lineRule="auto"/>
              <w:ind w:firstLine="600"/>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rPr>
              <w:t>1</w:t>
            </w:r>
            <w:r>
              <w:rPr>
                <w:rFonts w:hint="eastAsia" w:ascii="宋体" w:hAnsi="宋体" w:eastAsia="宋体" w:cs="宋体"/>
                <w:color w:val="auto"/>
                <w:kern w:val="0"/>
                <w:sz w:val="24"/>
                <w:highlight w:val="none"/>
                <w:lang w:val="en-US" w:eastAsia="zh-CN"/>
              </w:rPr>
              <w:t>4</w:t>
            </w: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rPr>
              <w:t>其他要求：治疗室安装应急照明装置，设火灾自动报警装置等。</w:t>
            </w:r>
            <w:r>
              <w:rPr>
                <w:rFonts w:hint="eastAsia" w:ascii="宋体" w:hAnsi="宋体" w:eastAsia="宋体" w:cs="宋体"/>
                <w:color w:val="auto"/>
                <w:kern w:val="0"/>
                <w:sz w:val="24"/>
                <w:highlight w:val="none"/>
                <w:lang w:val="en-US" w:eastAsia="zh-CN"/>
              </w:rPr>
              <w:t>线缆采用“U”型方式穿过屏蔽墙。</w:t>
            </w:r>
          </w:p>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b/>
                <w:color w:val="auto"/>
                <w:kern w:val="0"/>
                <w:sz w:val="21"/>
                <w:szCs w:val="21"/>
                <w:highlight w:val="none"/>
              </w:rPr>
              <w:t>表10-3本项目加速器机房辐射防护设施设计</w:t>
            </w:r>
          </w:p>
          <w:tbl>
            <w:tblPr>
              <w:tblStyle w:val="18"/>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803"/>
              <w:gridCol w:w="1086"/>
              <w:gridCol w:w="4021"/>
              <w:gridCol w:w="1395"/>
              <w:gridCol w:w="1422"/>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454" w:hRule="exact"/>
                <w:jc w:val="center"/>
              </w:trPr>
              <w:tc>
                <w:tcPr>
                  <w:tcW w:w="460"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b/>
                      <w:bCs/>
                      <w:color w:val="auto"/>
                      <w:spacing w:val="0"/>
                      <w:kern w:val="0"/>
                      <w:position w:val="0"/>
                      <w:sz w:val="21"/>
                      <w:szCs w:val="21"/>
                      <w:highlight w:val="none"/>
                    </w:rPr>
                  </w:pPr>
                  <w:r>
                    <w:rPr>
                      <w:rFonts w:hint="eastAsia" w:ascii="宋体" w:hAnsi="宋体" w:eastAsia="宋体" w:cs="宋体"/>
                      <w:b/>
                      <w:bCs/>
                      <w:color w:val="auto"/>
                      <w:spacing w:val="0"/>
                      <w:kern w:val="0"/>
                      <w:position w:val="0"/>
                      <w:sz w:val="21"/>
                      <w:szCs w:val="21"/>
                      <w:highlight w:val="none"/>
                    </w:rPr>
                    <w:t>序号</w:t>
                  </w:r>
                </w:p>
              </w:tc>
              <w:tc>
                <w:tcPr>
                  <w:tcW w:w="622"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b/>
                      <w:bCs/>
                      <w:color w:val="auto"/>
                      <w:spacing w:val="0"/>
                      <w:kern w:val="0"/>
                      <w:position w:val="0"/>
                      <w:sz w:val="21"/>
                      <w:szCs w:val="21"/>
                      <w:highlight w:val="none"/>
                    </w:rPr>
                  </w:pPr>
                  <w:r>
                    <w:rPr>
                      <w:rFonts w:hint="eastAsia" w:ascii="宋体" w:hAnsi="宋体" w:eastAsia="宋体" w:cs="宋体"/>
                      <w:b/>
                      <w:bCs/>
                      <w:color w:val="auto"/>
                      <w:spacing w:val="0"/>
                      <w:kern w:val="0"/>
                      <w:position w:val="0"/>
                      <w:sz w:val="21"/>
                      <w:szCs w:val="21"/>
                      <w:highlight w:val="none"/>
                    </w:rPr>
                    <w:t>项目</w:t>
                  </w:r>
                </w:p>
              </w:tc>
              <w:tc>
                <w:tcPr>
                  <w:tcW w:w="2303"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b/>
                      <w:bCs/>
                      <w:color w:val="auto"/>
                      <w:spacing w:val="0"/>
                      <w:kern w:val="0"/>
                      <w:position w:val="0"/>
                      <w:sz w:val="21"/>
                      <w:szCs w:val="21"/>
                      <w:highlight w:val="none"/>
                    </w:rPr>
                  </w:pPr>
                  <w:r>
                    <w:rPr>
                      <w:rFonts w:hint="eastAsia" w:ascii="宋体" w:hAnsi="宋体" w:eastAsia="宋体" w:cs="宋体"/>
                      <w:b/>
                      <w:bCs/>
                      <w:color w:val="auto"/>
                      <w:spacing w:val="0"/>
                      <w:kern w:val="0"/>
                      <w:position w:val="0"/>
                      <w:sz w:val="21"/>
                      <w:szCs w:val="21"/>
                      <w:highlight w:val="none"/>
                    </w:rPr>
                    <w:t>检查内容</w:t>
                  </w:r>
                </w:p>
              </w:tc>
              <w:tc>
                <w:tcPr>
                  <w:tcW w:w="799"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b/>
                      <w:bCs/>
                      <w:color w:val="auto"/>
                      <w:spacing w:val="0"/>
                      <w:kern w:val="0"/>
                      <w:position w:val="0"/>
                      <w:sz w:val="21"/>
                      <w:szCs w:val="21"/>
                      <w:highlight w:val="none"/>
                    </w:rPr>
                  </w:pPr>
                  <w:r>
                    <w:rPr>
                      <w:rFonts w:hint="eastAsia" w:ascii="宋体" w:hAnsi="宋体" w:eastAsia="宋体" w:cs="宋体"/>
                      <w:b/>
                      <w:bCs/>
                      <w:color w:val="auto"/>
                      <w:spacing w:val="0"/>
                      <w:kern w:val="0"/>
                      <w:position w:val="0"/>
                      <w:sz w:val="21"/>
                      <w:szCs w:val="21"/>
                      <w:highlight w:val="none"/>
                    </w:rPr>
                    <w:t>设计建造</w:t>
                  </w:r>
                </w:p>
              </w:tc>
              <w:tc>
                <w:tcPr>
                  <w:tcW w:w="814"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b/>
                      <w:bCs/>
                      <w:color w:val="auto"/>
                      <w:spacing w:val="0"/>
                      <w:kern w:val="0"/>
                      <w:position w:val="0"/>
                      <w:sz w:val="21"/>
                      <w:szCs w:val="21"/>
                      <w:highlight w:val="none"/>
                    </w:rPr>
                  </w:pPr>
                  <w:r>
                    <w:rPr>
                      <w:rFonts w:hint="eastAsia" w:ascii="宋体" w:hAnsi="宋体" w:eastAsia="宋体" w:cs="宋体"/>
                      <w:b/>
                      <w:bCs/>
                      <w:color w:val="auto"/>
                      <w:spacing w:val="0"/>
                      <w:kern w:val="0"/>
                      <w:position w:val="0"/>
                      <w:sz w:val="21"/>
                      <w:szCs w:val="21"/>
                      <w:highlight w:val="none"/>
                    </w:rPr>
                    <w:t>备注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exact"/>
                <w:jc w:val="center"/>
              </w:trPr>
              <w:tc>
                <w:tcPr>
                  <w:tcW w:w="460" w:type="pct"/>
                  <w:tcBorders>
                    <w:tl2br w:val="nil"/>
                    <w:tr2bl w:val="nil"/>
                  </w:tcBorders>
                  <w:vAlign w:val="center"/>
                </w:tcPr>
                <w:p>
                  <w:pPr>
                    <w:autoSpaceDE w:val="0"/>
                    <w:autoSpaceDN w:val="0"/>
                    <w:adjustRightInd w:val="0"/>
                    <w:spacing w:line="240" w:lineRule="auto"/>
                    <w:ind w:left="0" w:right="0" w:firstLine="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kern w:val="0"/>
                      <w:position w:val="0"/>
                      <w:sz w:val="21"/>
                      <w:szCs w:val="21"/>
                      <w:highlight w:val="none"/>
                    </w:rPr>
                    <w:t>1*</w:t>
                  </w:r>
                </w:p>
              </w:tc>
              <w:tc>
                <w:tcPr>
                  <w:tcW w:w="622" w:type="pct"/>
                  <w:vMerge w:val="restart"/>
                  <w:tcBorders>
                    <w:tl2br w:val="nil"/>
                    <w:tr2bl w:val="nil"/>
                  </w:tcBorders>
                  <w:vAlign w:val="center"/>
                </w:tcPr>
                <w:p>
                  <w:pPr>
                    <w:autoSpaceDE w:val="0"/>
                    <w:autoSpaceDN w:val="0"/>
                    <w:adjustRightInd w:val="0"/>
                    <w:spacing w:line="240" w:lineRule="auto"/>
                    <w:ind w:left="0" w:right="0" w:firstLine="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kern w:val="0"/>
                      <w:position w:val="0"/>
                      <w:sz w:val="21"/>
                      <w:szCs w:val="21"/>
                      <w:highlight w:val="none"/>
                    </w:rPr>
                    <w:t>A控制台及安全联锁</w:t>
                  </w:r>
                </w:p>
              </w:tc>
              <w:tc>
                <w:tcPr>
                  <w:tcW w:w="2303"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kern w:val="0"/>
                      <w:position w:val="0"/>
                      <w:sz w:val="21"/>
                      <w:szCs w:val="21"/>
                      <w:highlight w:val="none"/>
                    </w:rPr>
                    <w:t>防止非工作人员操作的锁定开关</w:t>
                  </w:r>
                </w:p>
              </w:tc>
              <w:tc>
                <w:tcPr>
                  <w:tcW w:w="799"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position w:val="0"/>
                      <w:sz w:val="21"/>
                      <w:szCs w:val="21"/>
                      <w:highlight w:val="none"/>
                    </w:rPr>
                    <w:t>√</w:t>
                  </w:r>
                </w:p>
              </w:tc>
              <w:tc>
                <w:tcPr>
                  <w:tcW w:w="814"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exact"/>
                <w:jc w:val="center"/>
              </w:trPr>
              <w:tc>
                <w:tcPr>
                  <w:tcW w:w="460" w:type="pct"/>
                  <w:tcBorders>
                    <w:tl2br w:val="nil"/>
                    <w:tr2bl w:val="nil"/>
                  </w:tcBorders>
                  <w:vAlign w:val="center"/>
                </w:tcPr>
                <w:p>
                  <w:pPr>
                    <w:autoSpaceDE w:val="0"/>
                    <w:autoSpaceDN w:val="0"/>
                    <w:adjustRightInd w:val="0"/>
                    <w:spacing w:line="240" w:lineRule="auto"/>
                    <w:ind w:left="0" w:right="0" w:firstLine="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kern w:val="0"/>
                      <w:position w:val="0"/>
                      <w:sz w:val="21"/>
                      <w:szCs w:val="21"/>
                      <w:highlight w:val="none"/>
                    </w:rPr>
                    <w:t>2*</w:t>
                  </w:r>
                </w:p>
              </w:tc>
              <w:tc>
                <w:tcPr>
                  <w:tcW w:w="622" w:type="pct"/>
                  <w:vMerge w:val="continue"/>
                  <w:tcBorders>
                    <w:tl2br w:val="nil"/>
                    <w:tr2bl w:val="nil"/>
                  </w:tcBorders>
                  <w:vAlign w:val="center"/>
                </w:tcPr>
                <w:p>
                  <w:pPr>
                    <w:autoSpaceDE w:val="0"/>
                    <w:autoSpaceDN w:val="0"/>
                    <w:adjustRightInd w:val="0"/>
                    <w:spacing w:line="240" w:lineRule="auto"/>
                    <w:ind w:left="0" w:right="0" w:firstLine="0"/>
                    <w:jc w:val="center"/>
                    <w:rPr>
                      <w:rFonts w:hint="eastAsia" w:ascii="宋体" w:hAnsi="宋体" w:eastAsia="宋体" w:cs="宋体"/>
                      <w:color w:val="auto"/>
                      <w:spacing w:val="0"/>
                      <w:kern w:val="0"/>
                      <w:position w:val="0"/>
                      <w:sz w:val="21"/>
                      <w:szCs w:val="21"/>
                      <w:highlight w:val="none"/>
                    </w:rPr>
                  </w:pPr>
                </w:p>
              </w:tc>
              <w:tc>
                <w:tcPr>
                  <w:tcW w:w="2303"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kern w:val="0"/>
                      <w:position w:val="0"/>
                      <w:sz w:val="21"/>
                      <w:szCs w:val="21"/>
                      <w:highlight w:val="none"/>
                    </w:rPr>
                    <w:t>控制台有紧急停机按钮</w:t>
                  </w:r>
                </w:p>
              </w:tc>
              <w:tc>
                <w:tcPr>
                  <w:tcW w:w="799"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position w:val="0"/>
                      <w:sz w:val="21"/>
                      <w:szCs w:val="21"/>
                      <w:highlight w:val="none"/>
                    </w:rPr>
                    <w:t>√</w:t>
                  </w:r>
                </w:p>
              </w:tc>
              <w:tc>
                <w:tcPr>
                  <w:tcW w:w="814"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exact"/>
                <w:jc w:val="center"/>
              </w:trPr>
              <w:tc>
                <w:tcPr>
                  <w:tcW w:w="460" w:type="pct"/>
                  <w:tcBorders>
                    <w:tl2br w:val="nil"/>
                    <w:tr2bl w:val="nil"/>
                  </w:tcBorders>
                  <w:vAlign w:val="center"/>
                </w:tcPr>
                <w:p>
                  <w:pPr>
                    <w:autoSpaceDE w:val="0"/>
                    <w:autoSpaceDN w:val="0"/>
                    <w:adjustRightInd w:val="0"/>
                    <w:spacing w:line="240" w:lineRule="auto"/>
                    <w:ind w:left="0" w:right="0" w:firstLine="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kern w:val="0"/>
                      <w:position w:val="0"/>
                      <w:sz w:val="21"/>
                      <w:szCs w:val="21"/>
                      <w:highlight w:val="none"/>
                    </w:rPr>
                    <w:t>3*</w:t>
                  </w:r>
                </w:p>
              </w:tc>
              <w:tc>
                <w:tcPr>
                  <w:tcW w:w="622" w:type="pct"/>
                  <w:vMerge w:val="continue"/>
                  <w:tcBorders>
                    <w:tl2br w:val="nil"/>
                    <w:tr2bl w:val="nil"/>
                  </w:tcBorders>
                  <w:vAlign w:val="center"/>
                </w:tcPr>
                <w:p>
                  <w:pPr>
                    <w:autoSpaceDE w:val="0"/>
                    <w:autoSpaceDN w:val="0"/>
                    <w:adjustRightInd w:val="0"/>
                    <w:spacing w:line="240" w:lineRule="auto"/>
                    <w:ind w:left="0" w:right="0" w:firstLine="0"/>
                    <w:jc w:val="center"/>
                    <w:rPr>
                      <w:rFonts w:hint="eastAsia" w:ascii="宋体" w:hAnsi="宋体" w:eastAsia="宋体" w:cs="宋体"/>
                      <w:color w:val="auto"/>
                      <w:spacing w:val="0"/>
                      <w:kern w:val="0"/>
                      <w:position w:val="0"/>
                      <w:sz w:val="21"/>
                      <w:szCs w:val="21"/>
                      <w:highlight w:val="none"/>
                    </w:rPr>
                  </w:pPr>
                </w:p>
              </w:tc>
              <w:tc>
                <w:tcPr>
                  <w:tcW w:w="2303"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kern w:val="0"/>
                      <w:position w:val="0"/>
                      <w:sz w:val="21"/>
                      <w:szCs w:val="21"/>
                      <w:highlight w:val="none"/>
                    </w:rPr>
                    <w:t>电视监控与对讲系统</w:t>
                  </w:r>
                </w:p>
              </w:tc>
              <w:tc>
                <w:tcPr>
                  <w:tcW w:w="799"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position w:val="0"/>
                      <w:sz w:val="21"/>
                      <w:szCs w:val="21"/>
                      <w:highlight w:val="none"/>
                    </w:rPr>
                    <w:t>√</w:t>
                  </w:r>
                </w:p>
              </w:tc>
              <w:tc>
                <w:tcPr>
                  <w:tcW w:w="814"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exact"/>
                <w:jc w:val="center"/>
              </w:trPr>
              <w:tc>
                <w:tcPr>
                  <w:tcW w:w="460" w:type="pct"/>
                  <w:tcBorders>
                    <w:tl2br w:val="nil"/>
                    <w:tr2bl w:val="nil"/>
                  </w:tcBorders>
                  <w:vAlign w:val="center"/>
                </w:tcPr>
                <w:p>
                  <w:pPr>
                    <w:autoSpaceDE w:val="0"/>
                    <w:autoSpaceDN w:val="0"/>
                    <w:adjustRightInd w:val="0"/>
                    <w:spacing w:line="240" w:lineRule="auto"/>
                    <w:ind w:left="0" w:right="0" w:firstLine="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kern w:val="0"/>
                      <w:position w:val="0"/>
                      <w:sz w:val="21"/>
                      <w:szCs w:val="21"/>
                      <w:highlight w:val="none"/>
                    </w:rPr>
                    <w:t>4*</w:t>
                  </w:r>
                </w:p>
              </w:tc>
              <w:tc>
                <w:tcPr>
                  <w:tcW w:w="622" w:type="pct"/>
                  <w:vMerge w:val="continue"/>
                  <w:tcBorders>
                    <w:tl2br w:val="nil"/>
                    <w:tr2bl w:val="nil"/>
                  </w:tcBorders>
                  <w:vAlign w:val="center"/>
                </w:tcPr>
                <w:p>
                  <w:pPr>
                    <w:autoSpaceDE w:val="0"/>
                    <w:autoSpaceDN w:val="0"/>
                    <w:adjustRightInd w:val="0"/>
                    <w:spacing w:line="240" w:lineRule="auto"/>
                    <w:ind w:left="0" w:right="0" w:firstLine="0"/>
                    <w:jc w:val="center"/>
                    <w:rPr>
                      <w:rFonts w:hint="eastAsia" w:ascii="宋体" w:hAnsi="宋体" w:eastAsia="宋体" w:cs="宋体"/>
                      <w:color w:val="auto"/>
                      <w:spacing w:val="0"/>
                      <w:kern w:val="0"/>
                      <w:position w:val="0"/>
                      <w:sz w:val="21"/>
                      <w:szCs w:val="21"/>
                      <w:highlight w:val="none"/>
                    </w:rPr>
                  </w:pPr>
                </w:p>
              </w:tc>
              <w:tc>
                <w:tcPr>
                  <w:tcW w:w="2303"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kern w:val="0"/>
                      <w:position w:val="0"/>
                      <w:sz w:val="21"/>
                      <w:szCs w:val="21"/>
                      <w:highlight w:val="none"/>
                    </w:rPr>
                    <w:t>治疗室门与束流联锁</w:t>
                  </w:r>
                </w:p>
              </w:tc>
              <w:tc>
                <w:tcPr>
                  <w:tcW w:w="799"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position w:val="0"/>
                      <w:sz w:val="21"/>
                      <w:szCs w:val="21"/>
                      <w:highlight w:val="none"/>
                    </w:rPr>
                    <w:t>√</w:t>
                  </w:r>
                </w:p>
              </w:tc>
              <w:tc>
                <w:tcPr>
                  <w:tcW w:w="814"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exact"/>
                <w:jc w:val="center"/>
              </w:trPr>
              <w:tc>
                <w:tcPr>
                  <w:tcW w:w="460" w:type="pct"/>
                  <w:tcBorders>
                    <w:tl2br w:val="nil"/>
                    <w:tr2bl w:val="nil"/>
                  </w:tcBorders>
                  <w:vAlign w:val="center"/>
                </w:tcPr>
                <w:p>
                  <w:pPr>
                    <w:autoSpaceDE w:val="0"/>
                    <w:autoSpaceDN w:val="0"/>
                    <w:adjustRightInd w:val="0"/>
                    <w:spacing w:line="240" w:lineRule="auto"/>
                    <w:ind w:left="0" w:right="0" w:firstLine="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kern w:val="0"/>
                      <w:position w:val="0"/>
                      <w:sz w:val="21"/>
                      <w:szCs w:val="21"/>
                      <w:highlight w:val="none"/>
                    </w:rPr>
                    <w:t>5</w:t>
                  </w:r>
                </w:p>
              </w:tc>
              <w:tc>
                <w:tcPr>
                  <w:tcW w:w="622" w:type="pct"/>
                  <w:vMerge w:val="continue"/>
                  <w:tcBorders>
                    <w:tl2br w:val="nil"/>
                    <w:tr2bl w:val="nil"/>
                  </w:tcBorders>
                  <w:vAlign w:val="center"/>
                </w:tcPr>
                <w:p>
                  <w:pPr>
                    <w:autoSpaceDE w:val="0"/>
                    <w:autoSpaceDN w:val="0"/>
                    <w:adjustRightInd w:val="0"/>
                    <w:spacing w:line="240" w:lineRule="auto"/>
                    <w:ind w:left="0" w:right="0" w:firstLine="0"/>
                    <w:jc w:val="center"/>
                    <w:rPr>
                      <w:rFonts w:hint="eastAsia" w:ascii="宋体" w:hAnsi="宋体" w:eastAsia="宋体" w:cs="宋体"/>
                      <w:color w:val="auto"/>
                      <w:spacing w:val="0"/>
                      <w:kern w:val="0"/>
                      <w:position w:val="0"/>
                      <w:sz w:val="21"/>
                      <w:szCs w:val="21"/>
                      <w:highlight w:val="none"/>
                    </w:rPr>
                  </w:pPr>
                </w:p>
              </w:tc>
              <w:tc>
                <w:tcPr>
                  <w:tcW w:w="2303"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kern w:val="0"/>
                      <w:position w:val="0"/>
                      <w:sz w:val="21"/>
                      <w:szCs w:val="21"/>
                      <w:highlight w:val="none"/>
                    </w:rPr>
                    <w:t>治疗室内准备出束音响提示</w:t>
                  </w:r>
                </w:p>
              </w:tc>
              <w:tc>
                <w:tcPr>
                  <w:tcW w:w="799"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position w:val="0"/>
                      <w:sz w:val="21"/>
                      <w:szCs w:val="21"/>
                      <w:highlight w:val="none"/>
                    </w:rPr>
                    <w:t>√</w:t>
                  </w:r>
                </w:p>
              </w:tc>
              <w:tc>
                <w:tcPr>
                  <w:tcW w:w="814"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exact"/>
                <w:jc w:val="center"/>
              </w:trPr>
              <w:tc>
                <w:tcPr>
                  <w:tcW w:w="460" w:type="pct"/>
                  <w:tcBorders>
                    <w:tl2br w:val="nil"/>
                    <w:tr2bl w:val="nil"/>
                  </w:tcBorders>
                  <w:vAlign w:val="center"/>
                </w:tcPr>
                <w:p>
                  <w:pPr>
                    <w:autoSpaceDE w:val="0"/>
                    <w:autoSpaceDN w:val="0"/>
                    <w:adjustRightInd w:val="0"/>
                    <w:spacing w:line="240" w:lineRule="auto"/>
                    <w:ind w:left="0" w:right="0" w:firstLine="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kern w:val="0"/>
                      <w:position w:val="0"/>
                      <w:sz w:val="21"/>
                      <w:szCs w:val="21"/>
                      <w:highlight w:val="none"/>
                    </w:rPr>
                    <w:t>6*</w:t>
                  </w:r>
                </w:p>
              </w:tc>
              <w:tc>
                <w:tcPr>
                  <w:tcW w:w="622" w:type="pct"/>
                  <w:vMerge w:val="restart"/>
                  <w:tcBorders>
                    <w:tl2br w:val="nil"/>
                    <w:tr2bl w:val="nil"/>
                  </w:tcBorders>
                  <w:vAlign w:val="center"/>
                </w:tcPr>
                <w:p>
                  <w:pPr>
                    <w:autoSpaceDE w:val="0"/>
                    <w:autoSpaceDN w:val="0"/>
                    <w:adjustRightInd w:val="0"/>
                    <w:spacing w:line="240" w:lineRule="auto"/>
                    <w:ind w:left="0" w:right="0" w:firstLine="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kern w:val="0"/>
                      <w:position w:val="0"/>
                      <w:sz w:val="21"/>
                      <w:szCs w:val="21"/>
                      <w:highlight w:val="none"/>
                    </w:rPr>
                    <w:t>B</w:t>
                  </w:r>
                </w:p>
                <w:p>
                  <w:pPr>
                    <w:autoSpaceDE w:val="0"/>
                    <w:autoSpaceDN w:val="0"/>
                    <w:adjustRightInd w:val="0"/>
                    <w:spacing w:line="240" w:lineRule="auto"/>
                    <w:ind w:left="0" w:right="0" w:firstLine="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kern w:val="0"/>
                      <w:position w:val="0"/>
                      <w:sz w:val="21"/>
                      <w:szCs w:val="21"/>
                      <w:highlight w:val="none"/>
                    </w:rPr>
                    <w:t>警示装置</w:t>
                  </w:r>
                </w:p>
              </w:tc>
              <w:tc>
                <w:tcPr>
                  <w:tcW w:w="2303"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kern w:val="0"/>
                      <w:position w:val="0"/>
                      <w:sz w:val="21"/>
                      <w:szCs w:val="21"/>
                      <w:highlight w:val="none"/>
                    </w:rPr>
                    <w:t>入口电离辐射警示标志</w:t>
                  </w:r>
                </w:p>
              </w:tc>
              <w:tc>
                <w:tcPr>
                  <w:tcW w:w="799"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position w:val="0"/>
                      <w:sz w:val="21"/>
                      <w:szCs w:val="21"/>
                      <w:highlight w:val="none"/>
                    </w:rPr>
                    <w:t>√</w:t>
                  </w:r>
                </w:p>
              </w:tc>
              <w:tc>
                <w:tcPr>
                  <w:tcW w:w="814"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454" w:hRule="exact"/>
                <w:jc w:val="center"/>
              </w:trPr>
              <w:tc>
                <w:tcPr>
                  <w:tcW w:w="460" w:type="pct"/>
                  <w:tcBorders>
                    <w:tl2br w:val="nil"/>
                    <w:tr2bl w:val="nil"/>
                  </w:tcBorders>
                  <w:vAlign w:val="center"/>
                </w:tcPr>
                <w:p>
                  <w:pPr>
                    <w:autoSpaceDE w:val="0"/>
                    <w:autoSpaceDN w:val="0"/>
                    <w:adjustRightInd w:val="0"/>
                    <w:spacing w:line="240" w:lineRule="auto"/>
                    <w:ind w:left="0" w:right="0" w:firstLine="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kern w:val="0"/>
                      <w:position w:val="0"/>
                      <w:sz w:val="21"/>
                      <w:szCs w:val="21"/>
                      <w:highlight w:val="none"/>
                    </w:rPr>
                    <w:t>7*</w:t>
                  </w:r>
                </w:p>
              </w:tc>
              <w:tc>
                <w:tcPr>
                  <w:tcW w:w="622" w:type="pct"/>
                  <w:vMerge w:val="continue"/>
                  <w:tcBorders>
                    <w:tl2br w:val="nil"/>
                    <w:tr2bl w:val="nil"/>
                  </w:tcBorders>
                  <w:vAlign w:val="center"/>
                </w:tcPr>
                <w:p>
                  <w:pPr>
                    <w:autoSpaceDE w:val="0"/>
                    <w:autoSpaceDN w:val="0"/>
                    <w:adjustRightInd w:val="0"/>
                    <w:spacing w:line="240" w:lineRule="auto"/>
                    <w:ind w:left="0" w:right="0" w:firstLine="0"/>
                    <w:jc w:val="center"/>
                    <w:rPr>
                      <w:rFonts w:hint="eastAsia" w:ascii="宋体" w:hAnsi="宋体" w:eastAsia="宋体" w:cs="宋体"/>
                      <w:color w:val="auto"/>
                      <w:spacing w:val="0"/>
                      <w:kern w:val="0"/>
                      <w:position w:val="0"/>
                      <w:sz w:val="21"/>
                      <w:szCs w:val="21"/>
                      <w:highlight w:val="none"/>
                    </w:rPr>
                  </w:pPr>
                </w:p>
              </w:tc>
              <w:tc>
                <w:tcPr>
                  <w:tcW w:w="2303"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kern w:val="0"/>
                      <w:position w:val="0"/>
                      <w:sz w:val="21"/>
                      <w:szCs w:val="21"/>
                      <w:highlight w:val="none"/>
                    </w:rPr>
                    <w:t>入口有加速器工作状态显示</w:t>
                  </w:r>
                </w:p>
              </w:tc>
              <w:tc>
                <w:tcPr>
                  <w:tcW w:w="799"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position w:val="0"/>
                      <w:sz w:val="21"/>
                      <w:szCs w:val="21"/>
                      <w:highlight w:val="none"/>
                    </w:rPr>
                    <w:t>√</w:t>
                  </w:r>
                </w:p>
              </w:tc>
              <w:tc>
                <w:tcPr>
                  <w:tcW w:w="814"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exact"/>
                <w:jc w:val="center"/>
              </w:trPr>
              <w:tc>
                <w:tcPr>
                  <w:tcW w:w="460" w:type="pct"/>
                  <w:tcBorders>
                    <w:tl2br w:val="nil"/>
                    <w:tr2bl w:val="nil"/>
                  </w:tcBorders>
                  <w:vAlign w:val="center"/>
                </w:tcPr>
                <w:p>
                  <w:pPr>
                    <w:autoSpaceDE w:val="0"/>
                    <w:autoSpaceDN w:val="0"/>
                    <w:adjustRightInd w:val="0"/>
                    <w:spacing w:line="240" w:lineRule="auto"/>
                    <w:ind w:left="0" w:right="0" w:firstLine="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kern w:val="0"/>
                      <w:position w:val="0"/>
                      <w:sz w:val="21"/>
                      <w:szCs w:val="21"/>
                      <w:highlight w:val="none"/>
                    </w:rPr>
                    <w:t>8</w:t>
                  </w:r>
                </w:p>
              </w:tc>
              <w:tc>
                <w:tcPr>
                  <w:tcW w:w="622" w:type="pct"/>
                  <w:vMerge w:val="restart"/>
                  <w:tcBorders>
                    <w:tl2br w:val="nil"/>
                    <w:tr2bl w:val="nil"/>
                  </w:tcBorders>
                  <w:vAlign w:val="center"/>
                </w:tcPr>
                <w:p>
                  <w:pPr>
                    <w:autoSpaceDE w:val="0"/>
                    <w:autoSpaceDN w:val="0"/>
                    <w:adjustRightInd w:val="0"/>
                    <w:spacing w:line="240" w:lineRule="auto"/>
                    <w:ind w:left="0" w:right="0" w:firstLine="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kern w:val="0"/>
                      <w:position w:val="0"/>
                      <w:sz w:val="21"/>
                      <w:szCs w:val="21"/>
                      <w:highlight w:val="none"/>
                    </w:rPr>
                    <w:t>C照射室紧急设施</w:t>
                  </w:r>
                </w:p>
              </w:tc>
              <w:tc>
                <w:tcPr>
                  <w:tcW w:w="2303"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kern w:val="0"/>
                      <w:position w:val="0"/>
                      <w:sz w:val="21"/>
                      <w:szCs w:val="21"/>
                      <w:highlight w:val="none"/>
                    </w:rPr>
                    <w:t>紧急开门按钮</w:t>
                  </w:r>
                </w:p>
              </w:tc>
              <w:tc>
                <w:tcPr>
                  <w:tcW w:w="799"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position w:val="0"/>
                      <w:sz w:val="21"/>
                      <w:szCs w:val="21"/>
                      <w:highlight w:val="none"/>
                    </w:rPr>
                    <w:t>√</w:t>
                  </w:r>
                </w:p>
              </w:tc>
              <w:tc>
                <w:tcPr>
                  <w:tcW w:w="814"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exact"/>
                <w:jc w:val="center"/>
              </w:trPr>
              <w:tc>
                <w:tcPr>
                  <w:tcW w:w="460" w:type="pct"/>
                  <w:tcBorders>
                    <w:tl2br w:val="nil"/>
                    <w:tr2bl w:val="nil"/>
                  </w:tcBorders>
                  <w:vAlign w:val="center"/>
                </w:tcPr>
                <w:p>
                  <w:pPr>
                    <w:autoSpaceDE w:val="0"/>
                    <w:autoSpaceDN w:val="0"/>
                    <w:adjustRightInd w:val="0"/>
                    <w:spacing w:line="240" w:lineRule="auto"/>
                    <w:ind w:left="0" w:right="0" w:firstLine="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kern w:val="0"/>
                      <w:position w:val="0"/>
                      <w:sz w:val="21"/>
                      <w:szCs w:val="21"/>
                      <w:highlight w:val="none"/>
                    </w:rPr>
                    <w:t>9</w:t>
                  </w:r>
                </w:p>
              </w:tc>
              <w:tc>
                <w:tcPr>
                  <w:tcW w:w="622" w:type="pct"/>
                  <w:vMerge w:val="continue"/>
                  <w:tcBorders>
                    <w:tl2br w:val="nil"/>
                    <w:tr2bl w:val="nil"/>
                  </w:tcBorders>
                  <w:vAlign w:val="center"/>
                </w:tcPr>
                <w:p>
                  <w:pPr>
                    <w:autoSpaceDE w:val="0"/>
                    <w:autoSpaceDN w:val="0"/>
                    <w:adjustRightInd w:val="0"/>
                    <w:spacing w:line="240" w:lineRule="auto"/>
                    <w:ind w:left="0" w:right="0" w:firstLine="0"/>
                    <w:jc w:val="center"/>
                    <w:rPr>
                      <w:rFonts w:hint="eastAsia" w:ascii="宋体" w:hAnsi="宋体" w:eastAsia="宋体" w:cs="宋体"/>
                      <w:color w:val="auto"/>
                      <w:spacing w:val="0"/>
                      <w:kern w:val="0"/>
                      <w:position w:val="0"/>
                      <w:sz w:val="21"/>
                      <w:szCs w:val="21"/>
                      <w:highlight w:val="none"/>
                    </w:rPr>
                  </w:pPr>
                </w:p>
              </w:tc>
              <w:tc>
                <w:tcPr>
                  <w:tcW w:w="2303"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kern w:val="0"/>
                      <w:position w:val="0"/>
                      <w:sz w:val="21"/>
                      <w:szCs w:val="21"/>
                      <w:highlight w:val="none"/>
                    </w:rPr>
                    <w:t>紧急照明或独立通道照明系统</w:t>
                  </w:r>
                </w:p>
              </w:tc>
              <w:tc>
                <w:tcPr>
                  <w:tcW w:w="799"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position w:val="0"/>
                      <w:sz w:val="21"/>
                      <w:szCs w:val="21"/>
                      <w:highlight w:val="none"/>
                    </w:rPr>
                    <w:t>√</w:t>
                  </w:r>
                </w:p>
              </w:tc>
              <w:tc>
                <w:tcPr>
                  <w:tcW w:w="814"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exact"/>
                <w:jc w:val="center"/>
              </w:trPr>
              <w:tc>
                <w:tcPr>
                  <w:tcW w:w="460" w:type="pct"/>
                  <w:tcBorders>
                    <w:tl2br w:val="nil"/>
                    <w:tr2bl w:val="nil"/>
                  </w:tcBorders>
                  <w:vAlign w:val="center"/>
                </w:tcPr>
                <w:p>
                  <w:pPr>
                    <w:autoSpaceDE w:val="0"/>
                    <w:autoSpaceDN w:val="0"/>
                    <w:adjustRightInd w:val="0"/>
                    <w:spacing w:line="240" w:lineRule="auto"/>
                    <w:ind w:left="0" w:right="0" w:firstLine="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kern w:val="0"/>
                      <w:position w:val="0"/>
                      <w:sz w:val="21"/>
                      <w:szCs w:val="21"/>
                      <w:highlight w:val="none"/>
                    </w:rPr>
                    <w:t>10*</w:t>
                  </w:r>
                </w:p>
              </w:tc>
              <w:tc>
                <w:tcPr>
                  <w:tcW w:w="622" w:type="pct"/>
                  <w:vMerge w:val="continue"/>
                  <w:tcBorders>
                    <w:tl2br w:val="nil"/>
                    <w:tr2bl w:val="nil"/>
                  </w:tcBorders>
                  <w:vAlign w:val="center"/>
                </w:tcPr>
                <w:p>
                  <w:pPr>
                    <w:autoSpaceDE w:val="0"/>
                    <w:autoSpaceDN w:val="0"/>
                    <w:adjustRightInd w:val="0"/>
                    <w:spacing w:line="240" w:lineRule="auto"/>
                    <w:ind w:left="0" w:right="0" w:firstLine="0"/>
                    <w:jc w:val="center"/>
                    <w:rPr>
                      <w:rFonts w:hint="eastAsia" w:ascii="宋体" w:hAnsi="宋体" w:eastAsia="宋体" w:cs="宋体"/>
                      <w:color w:val="auto"/>
                      <w:spacing w:val="0"/>
                      <w:kern w:val="0"/>
                      <w:position w:val="0"/>
                      <w:sz w:val="21"/>
                      <w:szCs w:val="21"/>
                      <w:highlight w:val="none"/>
                    </w:rPr>
                  </w:pPr>
                </w:p>
              </w:tc>
              <w:tc>
                <w:tcPr>
                  <w:tcW w:w="2303"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kern w:val="0"/>
                      <w:position w:val="0"/>
                      <w:sz w:val="21"/>
                      <w:szCs w:val="21"/>
                      <w:highlight w:val="none"/>
                    </w:rPr>
                    <w:t>治疗室内有紧急停机按钮</w:t>
                  </w:r>
                </w:p>
              </w:tc>
              <w:tc>
                <w:tcPr>
                  <w:tcW w:w="799"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position w:val="0"/>
                      <w:sz w:val="21"/>
                      <w:szCs w:val="21"/>
                      <w:highlight w:val="none"/>
                    </w:rPr>
                    <w:t>√</w:t>
                  </w:r>
                </w:p>
              </w:tc>
              <w:tc>
                <w:tcPr>
                  <w:tcW w:w="814"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exact"/>
                <w:jc w:val="center"/>
              </w:trPr>
              <w:tc>
                <w:tcPr>
                  <w:tcW w:w="460" w:type="pct"/>
                  <w:tcBorders>
                    <w:tl2br w:val="nil"/>
                    <w:tr2bl w:val="nil"/>
                  </w:tcBorders>
                  <w:vAlign w:val="center"/>
                </w:tcPr>
                <w:p>
                  <w:pPr>
                    <w:autoSpaceDE w:val="0"/>
                    <w:autoSpaceDN w:val="0"/>
                    <w:adjustRightInd w:val="0"/>
                    <w:spacing w:line="240" w:lineRule="auto"/>
                    <w:ind w:left="0" w:right="0" w:firstLine="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kern w:val="0"/>
                      <w:position w:val="0"/>
                      <w:sz w:val="21"/>
                      <w:szCs w:val="21"/>
                      <w:highlight w:val="none"/>
                    </w:rPr>
                    <w:t>11*</w:t>
                  </w:r>
                </w:p>
              </w:tc>
              <w:tc>
                <w:tcPr>
                  <w:tcW w:w="622" w:type="pct"/>
                  <w:vMerge w:val="continue"/>
                  <w:tcBorders>
                    <w:tl2br w:val="nil"/>
                    <w:tr2bl w:val="nil"/>
                  </w:tcBorders>
                  <w:vAlign w:val="center"/>
                </w:tcPr>
                <w:p>
                  <w:pPr>
                    <w:autoSpaceDE w:val="0"/>
                    <w:autoSpaceDN w:val="0"/>
                    <w:adjustRightInd w:val="0"/>
                    <w:spacing w:line="240" w:lineRule="auto"/>
                    <w:ind w:left="0" w:right="0" w:firstLine="0"/>
                    <w:jc w:val="center"/>
                    <w:rPr>
                      <w:rFonts w:hint="eastAsia" w:ascii="宋体" w:hAnsi="宋体" w:eastAsia="宋体" w:cs="宋体"/>
                      <w:color w:val="auto"/>
                      <w:spacing w:val="0"/>
                      <w:kern w:val="0"/>
                      <w:position w:val="0"/>
                      <w:sz w:val="21"/>
                      <w:szCs w:val="21"/>
                      <w:highlight w:val="none"/>
                    </w:rPr>
                  </w:pPr>
                </w:p>
              </w:tc>
              <w:tc>
                <w:tcPr>
                  <w:tcW w:w="2303"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kern w:val="0"/>
                      <w:position w:val="0"/>
                      <w:sz w:val="21"/>
                      <w:szCs w:val="21"/>
                      <w:highlight w:val="none"/>
                    </w:rPr>
                    <w:t>治疗床有紧急停机按钮</w:t>
                  </w:r>
                </w:p>
              </w:tc>
              <w:tc>
                <w:tcPr>
                  <w:tcW w:w="799"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position w:val="0"/>
                      <w:sz w:val="21"/>
                      <w:szCs w:val="21"/>
                      <w:highlight w:val="none"/>
                    </w:rPr>
                    <w:t>√</w:t>
                  </w:r>
                </w:p>
              </w:tc>
              <w:tc>
                <w:tcPr>
                  <w:tcW w:w="814"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exact"/>
                <w:jc w:val="center"/>
              </w:trPr>
              <w:tc>
                <w:tcPr>
                  <w:tcW w:w="460" w:type="pct"/>
                  <w:tcBorders>
                    <w:tl2br w:val="nil"/>
                    <w:tr2bl w:val="nil"/>
                  </w:tcBorders>
                  <w:vAlign w:val="center"/>
                </w:tcPr>
                <w:p>
                  <w:pPr>
                    <w:autoSpaceDE w:val="0"/>
                    <w:autoSpaceDN w:val="0"/>
                    <w:adjustRightInd w:val="0"/>
                    <w:spacing w:line="240" w:lineRule="auto"/>
                    <w:ind w:left="0" w:right="0" w:firstLine="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kern w:val="0"/>
                      <w:position w:val="0"/>
                      <w:sz w:val="21"/>
                      <w:szCs w:val="21"/>
                      <w:highlight w:val="none"/>
                    </w:rPr>
                    <w:t>12</w:t>
                  </w:r>
                </w:p>
              </w:tc>
              <w:tc>
                <w:tcPr>
                  <w:tcW w:w="622" w:type="pct"/>
                  <w:vMerge w:val="restart"/>
                  <w:tcBorders>
                    <w:tl2br w:val="nil"/>
                    <w:tr2bl w:val="nil"/>
                  </w:tcBorders>
                  <w:vAlign w:val="center"/>
                </w:tcPr>
                <w:p>
                  <w:pPr>
                    <w:autoSpaceDE w:val="0"/>
                    <w:autoSpaceDN w:val="0"/>
                    <w:adjustRightInd w:val="0"/>
                    <w:spacing w:line="240" w:lineRule="auto"/>
                    <w:ind w:left="0" w:right="0" w:firstLine="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kern w:val="0"/>
                      <w:position w:val="0"/>
                      <w:sz w:val="21"/>
                      <w:szCs w:val="21"/>
                      <w:highlight w:val="none"/>
                    </w:rPr>
                    <w:t>D监测设备</w:t>
                  </w:r>
                </w:p>
              </w:tc>
              <w:tc>
                <w:tcPr>
                  <w:tcW w:w="2303"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kern w:val="0"/>
                      <w:position w:val="0"/>
                      <w:sz w:val="21"/>
                      <w:szCs w:val="21"/>
                      <w:highlight w:val="none"/>
                    </w:rPr>
                    <w:t>治疗室内固定式剂量报警仪</w:t>
                  </w:r>
                </w:p>
              </w:tc>
              <w:tc>
                <w:tcPr>
                  <w:tcW w:w="799"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position w:val="0"/>
                      <w:sz w:val="21"/>
                      <w:szCs w:val="21"/>
                      <w:highlight w:val="none"/>
                    </w:rPr>
                    <w:t>√</w:t>
                  </w:r>
                </w:p>
              </w:tc>
              <w:tc>
                <w:tcPr>
                  <w:tcW w:w="814"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exact"/>
                <w:jc w:val="center"/>
              </w:trPr>
              <w:tc>
                <w:tcPr>
                  <w:tcW w:w="460" w:type="pct"/>
                  <w:tcBorders>
                    <w:tl2br w:val="nil"/>
                    <w:tr2bl w:val="nil"/>
                  </w:tcBorders>
                  <w:vAlign w:val="center"/>
                </w:tcPr>
                <w:p>
                  <w:pPr>
                    <w:autoSpaceDE w:val="0"/>
                    <w:autoSpaceDN w:val="0"/>
                    <w:adjustRightInd w:val="0"/>
                    <w:spacing w:line="240" w:lineRule="auto"/>
                    <w:ind w:left="0" w:right="0" w:firstLine="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kern w:val="0"/>
                      <w:position w:val="0"/>
                      <w:sz w:val="21"/>
                      <w:szCs w:val="21"/>
                      <w:highlight w:val="none"/>
                    </w:rPr>
                    <w:t>13*</w:t>
                  </w:r>
                </w:p>
              </w:tc>
              <w:tc>
                <w:tcPr>
                  <w:tcW w:w="622" w:type="pct"/>
                  <w:vMerge w:val="continue"/>
                  <w:tcBorders>
                    <w:tl2br w:val="nil"/>
                    <w:tr2bl w:val="nil"/>
                  </w:tcBorders>
                  <w:vAlign w:val="center"/>
                </w:tcPr>
                <w:p>
                  <w:pPr>
                    <w:autoSpaceDE w:val="0"/>
                    <w:autoSpaceDN w:val="0"/>
                    <w:adjustRightInd w:val="0"/>
                    <w:spacing w:line="240" w:lineRule="auto"/>
                    <w:ind w:left="0" w:right="0" w:firstLine="0"/>
                    <w:jc w:val="center"/>
                    <w:rPr>
                      <w:rFonts w:hint="eastAsia" w:ascii="宋体" w:hAnsi="宋体" w:eastAsia="宋体" w:cs="宋体"/>
                      <w:color w:val="auto"/>
                      <w:spacing w:val="0"/>
                      <w:kern w:val="0"/>
                      <w:position w:val="0"/>
                      <w:sz w:val="21"/>
                      <w:szCs w:val="21"/>
                      <w:highlight w:val="none"/>
                    </w:rPr>
                  </w:pPr>
                </w:p>
              </w:tc>
              <w:tc>
                <w:tcPr>
                  <w:tcW w:w="2303"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kern w:val="0"/>
                      <w:position w:val="0"/>
                      <w:sz w:val="21"/>
                      <w:szCs w:val="21"/>
                      <w:highlight w:val="none"/>
                    </w:rPr>
                    <w:t>便携式辐射监测仪器仪表</w:t>
                  </w:r>
                </w:p>
              </w:tc>
              <w:tc>
                <w:tcPr>
                  <w:tcW w:w="799"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position w:val="0"/>
                      <w:sz w:val="21"/>
                      <w:szCs w:val="21"/>
                      <w:highlight w:val="none"/>
                    </w:rPr>
                    <w:t>√</w:t>
                  </w:r>
                </w:p>
              </w:tc>
              <w:tc>
                <w:tcPr>
                  <w:tcW w:w="814"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exact"/>
                <w:jc w:val="center"/>
              </w:trPr>
              <w:tc>
                <w:tcPr>
                  <w:tcW w:w="460" w:type="pct"/>
                  <w:tcBorders>
                    <w:tl2br w:val="nil"/>
                    <w:tr2bl w:val="nil"/>
                  </w:tcBorders>
                  <w:vAlign w:val="center"/>
                </w:tcPr>
                <w:p>
                  <w:pPr>
                    <w:autoSpaceDE w:val="0"/>
                    <w:autoSpaceDN w:val="0"/>
                    <w:adjustRightInd w:val="0"/>
                    <w:spacing w:line="240" w:lineRule="auto"/>
                    <w:ind w:left="0" w:right="0" w:firstLine="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kern w:val="0"/>
                      <w:position w:val="0"/>
                      <w:sz w:val="21"/>
                      <w:szCs w:val="21"/>
                      <w:highlight w:val="none"/>
                    </w:rPr>
                    <w:t>14*</w:t>
                  </w:r>
                </w:p>
              </w:tc>
              <w:tc>
                <w:tcPr>
                  <w:tcW w:w="622" w:type="pct"/>
                  <w:vMerge w:val="continue"/>
                  <w:tcBorders>
                    <w:tl2br w:val="nil"/>
                    <w:tr2bl w:val="nil"/>
                  </w:tcBorders>
                  <w:vAlign w:val="center"/>
                </w:tcPr>
                <w:p>
                  <w:pPr>
                    <w:autoSpaceDE w:val="0"/>
                    <w:autoSpaceDN w:val="0"/>
                    <w:adjustRightInd w:val="0"/>
                    <w:spacing w:line="240" w:lineRule="auto"/>
                    <w:ind w:left="0" w:right="0" w:firstLine="0"/>
                    <w:jc w:val="center"/>
                    <w:rPr>
                      <w:rFonts w:hint="eastAsia" w:ascii="宋体" w:hAnsi="宋体" w:eastAsia="宋体" w:cs="宋体"/>
                      <w:color w:val="auto"/>
                      <w:spacing w:val="0"/>
                      <w:kern w:val="0"/>
                      <w:position w:val="0"/>
                      <w:sz w:val="21"/>
                      <w:szCs w:val="21"/>
                      <w:highlight w:val="none"/>
                    </w:rPr>
                  </w:pPr>
                </w:p>
              </w:tc>
              <w:tc>
                <w:tcPr>
                  <w:tcW w:w="2303"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kern w:val="0"/>
                      <w:position w:val="0"/>
                      <w:sz w:val="21"/>
                      <w:szCs w:val="21"/>
                      <w:highlight w:val="none"/>
                    </w:rPr>
                    <w:t>个人剂量报警仪</w:t>
                  </w:r>
                </w:p>
              </w:tc>
              <w:tc>
                <w:tcPr>
                  <w:tcW w:w="799"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position w:val="0"/>
                      <w:sz w:val="21"/>
                      <w:szCs w:val="21"/>
                      <w:highlight w:val="none"/>
                    </w:rPr>
                    <w:t>√</w:t>
                  </w:r>
                </w:p>
              </w:tc>
              <w:tc>
                <w:tcPr>
                  <w:tcW w:w="814"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exact"/>
                <w:jc w:val="center"/>
              </w:trPr>
              <w:tc>
                <w:tcPr>
                  <w:tcW w:w="460" w:type="pct"/>
                  <w:tcBorders>
                    <w:tl2br w:val="nil"/>
                    <w:tr2bl w:val="nil"/>
                  </w:tcBorders>
                  <w:vAlign w:val="center"/>
                </w:tcPr>
                <w:p>
                  <w:pPr>
                    <w:autoSpaceDE w:val="0"/>
                    <w:autoSpaceDN w:val="0"/>
                    <w:adjustRightInd w:val="0"/>
                    <w:spacing w:line="240" w:lineRule="auto"/>
                    <w:ind w:left="0" w:right="0" w:firstLine="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kern w:val="0"/>
                      <w:position w:val="0"/>
                      <w:sz w:val="21"/>
                      <w:szCs w:val="21"/>
                      <w:highlight w:val="none"/>
                    </w:rPr>
                    <w:t>15*</w:t>
                  </w:r>
                </w:p>
              </w:tc>
              <w:tc>
                <w:tcPr>
                  <w:tcW w:w="622" w:type="pct"/>
                  <w:vMerge w:val="continue"/>
                  <w:tcBorders>
                    <w:tl2br w:val="nil"/>
                    <w:tr2bl w:val="nil"/>
                  </w:tcBorders>
                  <w:vAlign w:val="center"/>
                </w:tcPr>
                <w:p>
                  <w:pPr>
                    <w:autoSpaceDE w:val="0"/>
                    <w:autoSpaceDN w:val="0"/>
                    <w:adjustRightInd w:val="0"/>
                    <w:spacing w:line="240" w:lineRule="auto"/>
                    <w:ind w:left="0" w:right="0" w:firstLine="0"/>
                    <w:jc w:val="center"/>
                    <w:rPr>
                      <w:rFonts w:hint="eastAsia" w:ascii="宋体" w:hAnsi="宋体" w:eastAsia="宋体" w:cs="宋体"/>
                      <w:color w:val="auto"/>
                      <w:spacing w:val="0"/>
                      <w:kern w:val="0"/>
                      <w:position w:val="0"/>
                      <w:sz w:val="21"/>
                      <w:szCs w:val="21"/>
                      <w:highlight w:val="none"/>
                    </w:rPr>
                  </w:pPr>
                </w:p>
              </w:tc>
              <w:tc>
                <w:tcPr>
                  <w:tcW w:w="2303"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kern w:val="0"/>
                      <w:position w:val="0"/>
                      <w:sz w:val="21"/>
                      <w:szCs w:val="21"/>
                      <w:highlight w:val="none"/>
                    </w:rPr>
                    <w:t>个人剂量计</w:t>
                  </w:r>
                </w:p>
              </w:tc>
              <w:tc>
                <w:tcPr>
                  <w:tcW w:w="799"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position w:val="0"/>
                      <w:sz w:val="21"/>
                      <w:szCs w:val="21"/>
                      <w:highlight w:val="none"/>
                    </w:rPr>
                    <w:t>√</w:t>
                  </w:r>
                </w:p>
              </w:tc>
              <w:tc>
                <w:tcPr>
                  <w:tcW w:w="814"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exact"/>
                <w:jc w:val="center"/>
              </w:trPr>
              <w:tc>
                <w:tcPr>
                  <w:tcW w:w="460" w:type="pct"/>
                  <w:tcBorders>
                    <w:tl2br w:val="nil"/>
                    <w:tr2bl w:val="nil"/>
                  </w:tcBorders>
                  <w:vAlign w:val="center"/>
                </w:tcPr>
                <w:p>
                  <w:pPr>
                    <w:autoSpaceDE w:val="0"/>
                    <w:autoSpaceDN w:val="0"/>
                    <w:adjustRightInd w:val="0"/>
                    <w:spacing w:line="240" w:lineRule="auto"/>
                    <w:ind w:left="0" w:right="0" w:firstLine="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kern w:val="0"/>
                      <w:position w:val="0"/>
                      <w:sz w:val="21"/>
                      <w:szCs w:val="21"/>
                      <w:highlight w:val="none"/>
                    </w:rPr>
                    <w:t>16</w:t>
                  </w:r>
                </w:p>
              </w:tc>
              <w:tc>
                <w:tcPr>
                  <w:tcW w:w="622" w:type="pct"/>
                  <w:vMerge w:val="restart"/>
                  <w:tcBorders>
                    <w:tl2br w:val="nil"/>
                    <w:tr2bl w:val="nil"/>
                  </w:tcBorders>
                  <w:vAlign w:val="center"/>
                </w:tcPr>
                <w:p>
                  <w:pPr>
                    <w:autoSpaceDE w:val="0"/>
                    <w:autoSpaceDN w:val="0"/>
                    <w:adjustRightInd w:val="0"/>
                    <w:spacing w:line="240" w:lineRule="auto"/>
                    <w:ind w:left="0" w:right="0" w:firstLine="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kern w:val="0"/>
                      <w:position w:val="0"/>
                      <w:sz w:val="21"/>
                      <w:szCs w:val="21"/>
                      <w:highlight w:val="none"/>
                    </w:rPr>
                    <w:t>E</w:t>
                  </w:r>
                </w:p>
                <w:p>
                  <w:pPr>
                    <w:autoSpaceDE w:val="0"/>
                    <w:autoSpaceDN w:val="0"/>
                    <w:adjustRightInd w:val="0"/>
                    <w:spacing w:line="240" w:lineRule="auto"/>
                    <w:ind w:left="0" w:right="0" w:firstLine="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kern w:val="0"/>
                      <w:position w:val="0"/>
                      <w:sz w:val="21"/>
                      <w:szCs w:val="21"/>
                      <w:highlight w:val="none"/>
                    </w:rPr>
                    <w:t>其它</w:t>
                  </w:r>
                </w:p>
              </w:tc>
              <w:tc>
                <w:tcPr>
                  <w:tcW w:w="2303"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kern w:val="0"/>
                      <w:position w:val="0"/>
                      <w:sz w:val="21"/>
                      <w:szCs w:val="21"/>
                      <w:highlight w:val="none"/>
                    </w:rPr>
                    <w:t>治疗室门防夹人装置</w:t>
                  </w:r>
                </w:p>
              </w:tc>
              <w:tc>
                <w:tcPr>
                  <w:tcW w:w="799"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position w:val="0"/>
                      <w:sz w:val="21"/>
                      <w:szCs w:val="21"/>
                      <w:highlight w:val="none"/>
                    </w:rPr>
                    <w:t>√</w:t>
                  </w:r>
                </w:p>
              </w:tc>
              <w:tc>
                <w:tcPr>
                  <w:tcW w:w="814"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exact"/>
                <w:jc w:val="center"/>
              </w:trPr>
              <w:tc>
                <w:tcPr>
                  <w:tcW w:w="460"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kern w:val="0"/>
                      <w:position w:val="0"/>
                      <w:sz w:val="21"/>
                      <w:szCs w:val="21"/>
                      <w:highlight w:val="none"/>
                    </w:rPr>
                    <w:t>17</w:t>
                  </w:r>
                </w:p>
              </w:tc>
              <w:tc>
                <w:tcPr>
                  <w:tcW w:w="622" w:type="pct"/>
                  <w:vMerge w:val="continue"/>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p>
              </w:tc>
              <w:tc>
                <w:tcPr>
                  <w:tcW w:w="2303"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kern w:val="0"/>
                      <w:position w:val="0"/>
                      <w:sz w:val="21"/>
                      <w:szCs w:val="21"/>
                      <w:highlight w:val="none"/>
                    </w:rPr>
                    <w:t>通风系统</w:t>
                  </w:r>
                </w:p>
              </w:tc>
              <w:tc>
                <w:tcPr>
                  <w:tcW w:w="799"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position w:val="0"/>
                      <w:sz w:val="21"/>
                      <w:szCs w:val="21"/>
                      <w:highlight w:val="none"/>
                    </w:rPr>
                    <w:t>√</w:t>
                  </w:r>
                </w:p>
              </w:tc>
              <w:tc>
                <w:tcPr>
                  <w:tcW w:w="814"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exact"/>
                <w:jc w:val="center"/>
              </w:trPr>
              <w:tc>
                <w:tcPr>
                  <w:tcW w:w="460"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kern w:val="0"/>
                      <w:position w:val="0"/>
                      <w:sz w:val="21"/>
                      <w:szCs w:val="21"/>
                      <w:highlight w:val="none"/>
                    </w:rPr>
                    <w:t>18</w:t>
                  </w:r>
                </w:p>
              </w:tc>
              <w:tc>
                <w:tcPr>
                  <w:tcW w:w="622" w:type="pct"/>
                  <w:vMerge w:val="continue"/>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p>
              </w:tc>
              <w:tc>
                <w:tcPr>
                  <w:tcW w:w="2303"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kern w:val="0"/>
                      <w:position w:val="0"/>
                      <w:sz w:val="21"/>
                      <w:szCs w:val="21"/>
                      <w:highlight w:val="none"/>
                    </w:rPr>
                    <w:t>火灾报警仪</w:t>
                  </w:r>
                </w:p>
              </w:tc>
              <w:tc>
                <w:tcPr>
                  <w:tcW w:w="799"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r>
                    <w:rPr>
                      <w:rFonts w:hint="eastAsia" w:ascii="宋体" w:hAnsi="宋体" w:eastAsia="宋体" w:cs="宋体"/>
                      <w:color w:val="auto"/>
                      <w:spacing w:val="0"/>
                      <w:position w:val="0"/>
                      <w:sz w:val="21"/>
                      <w:szCs w:val="21"/>
                      <w:highlight w:val="none"/>
                    </w:rPr>
                    <w:t>√</w:t>
                  </w:r>
                </w:p>
              </w:tc>
              <w:tc>
                <w:tcPr>
                  <w:tcW w:w="814" w:type="pct"/>
                  <w:tcBorders>
                    <w:tl2br w:val="nil"/>
                    <w:tr2bl w:val="nil"/>
                  </w:tcBorders>
                  <w:vAlign w:val="center"/>
                </w:tcPr>
                <w:p>
                  <w:pPr>
                    <w:autoSpaceDE w:val="0"/>
                    <w:autoSpaceDN w:val="0"/>
                    <w:adjustRightInd w:val="0"/>
                    <w:spacing w:line="240" w:lineRule="auto"/>
                    <w:ind w:left="0" w:right="0"/>
                    <w:jc w:val="center"/>
                    <w:rPr>
                      <w:rFonts w:hint="eastAsia" w:ascii="宋体" w:hAnsi="宋体" w:eastAsia="宋体" w:cs="宋体"/>
                      <w:color w:val="auto"/>
                      <w:spacing w:val="0"/>
                      <w:kern w:val="0"/>
                      <w:position w:val="0"/>
                      <w:sz w:val="21"/>
                      <w:szCs w:val="21"/>
                      <w:highlight w:val="none"/>
                    </w:rPr>
                  </w:pPr>
                </w:p>
              </w:tc>
            </w:tr>
          </w:tbl>
          <w:p>
            <w:pPr>
              <w:spacing w:line="360" w:lineRule="auto"/>
              <w:ind w:firstLine="544" w:firstLineChars="200"/>
              <w:rPr>
                <w:rFonts w:hint="eastAsia" w:ascii="宋体" w:hAnsi="宋体" w:eastAsia="宋体" w:cs="宋体"/>
                <w:color w:val="auto"/>
                <w:spacing w:val="16"/>
                <w:kern w:val="0"/>
                <w:sz w:val="24"/>
                <w:highlight w:val="none"/>
              </w:rPr>
            </w:pPr>
            <w:r>
              <w:rPr>
                <w:rFonts w:hint="eastAsia" w:ascii="宋体" w:hAnsi="宋体" w:eastAsia="宋体" w:cs="宋体"/>
                <w:color w:val="auto"/>
                <w:spacing w:val="16"/>
                <w:kern w:val="0"/>
                <w:sz w:val="24"/>
                <w:highlight w:val="none"/>
              </w:rPr>
              <w:t>本项目加速器机房屏蔽设计、防护措施及管理要求满足</w:t>
            </w:r>
            <w:r>
              <w:rPr>
                <w:rFonts w:hint="eastAsia" w:ascii="宋体" w:hAnsi="宋体" w:eastAsia="宋体" w:cs="宋体"/>
                <w:color w:val="auto"/>
                <w:sz w:val="24"/>
                <w:highlight w:val="none"/>
              </w:rPr>
              <w:t>《电离辐射防护与辐射源安全基本标准》（GB18871-2002）及《放射治疗机房的辐射屏蔽规范第2部分：电子直线加速器放射治疗机房》（GBZ/T201.2-2011）</w:t>
            </w:r>
            <w:r>
              <w:rPr>
                <w:rFonts w:hint="eastAsia" w:ascii="宋体" w:hAnsi="宋体" w:eastAsia="宋体" w:cs="宋体"/>
                <w:color w:val="auto"/>
                <w:spacing w:val="16"/>
                <w:kern w:val="0"/>
                <w:sz w:val="24"/>
                <w:highlight w:val="none"/>
              </w:rPr>
              <w:t>、</w:t>
            </w:r>
            <w:r>
              <w:rPr>
                <w:rFonts w:hint="eastAsia" w:ascii="宋体" w:hAnsi="宋体" w:eastAsia="宋体" w:cs="宋体"/>
                <w:color w:val="auto"/>
                <w:sz w:val="24"/>
                <w:highlight w:val="none"/>
                <w:lang w:eastAsia="zh-CN"/>
              </w:rPr>
              <w:t>《放射治疗放射防护要求》（GBZ121-2020）、《</w:t>
            </w:r>
            <w:r>
              <w:rPr>
                <w:rFonts w:hint="eastAsia" w:ascii="宋体" w:hAnsi="宋体" w:eastAsia="宋体" w:cs="宋体"/>
                <w:color w:val="auto"/>
                <w:sz w:val="24"/>
                <w:highlight w:val="none"/>
                <w:lang w:val="en-US" w:eastAsia="zh-CN"/>
              </w:rPr>
              <w:t>放射治疗辐射安全与防护要求</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HJ1198-2021</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rPr>
              <w:t>等相关要求</w:t>
            </w:r>
            <w:r>
              <w:rPr>
                <w:rFonts w:hint="eastAsia" w:ascii="宋体" w:hAnsi="宋体" w:eastAsia="宋体" w:cs="宋体"/>
                <w:color w:val="auto"/>
                <w:spacing w:val="16"/>
                <w:kern w:val="0"/>
                <w:sz w:val="24"/>
                <w:highlight w:val="none"/>
              </w:rPr>
              <w:t>。</w:t>
            </w:r>
          </w:p>
          <w:p>
            <w:pPr>
              <w:spacing w:line="360" w:lineRule="auto"/>
              <w:ind w:firstLine="544" w:firstLineChars="200"/>
              <w:rPr>
                <w:rFonts w:hint="eastAsia" w:ascii="宋体" w:hAnsi="宋体" w:eastAsia="宋体" w:cs="宋体"/>
                <w:color w:val="auto"/>
                <w:spacing w:val="16"/>
                <w:kern w:val="0"/>
                <w:sz w:val="24"/>
                <w:highlight w:val="none"/>
                <w:lang w:val="en-US" w:eastAsia="zh-CN"/>
              </w:rPr>
            </w:pPr>
            <w:r>
              <w:rPr>
                <w:rFonts w:hint="eastAsia" w:ascii="宋体" w:hAnsi="宋体" w:eastAsia="宋体" w:cs="宋体"/>
                <w:color w:val="auto"/>
                <w:spacing w:val="16"/>
                <w:kern w:val="0"/>
                <w:sz w:val="24"/>
                <w:highlight w:val="none"/>
                <w:lang w:val="en-US" w:eastAsia="zh-CN"/>
              </w:rPr>
              <w:t>本项目环保投资见表10-4。</w:t>
            </w:r>
          </w:p>
          <w:p>
            <w:pPr>
              <w:pStyle w:val="25"/>
              <w:spacing w:line="240" w:lineRule="auto"/>
              <w:jc w:val="center"/>
              <w:rPr>
                <w:rFonts w:hint="eastAsia" w:ascii="宋体" w:hAnsi="宋体" w:eastAsia="宋体" w:cs="宋体"/>
                <w:b/>
                <w:bCs/>
                <w:color w:val="auto"/>
                <w:sz w:val="21"/>
                <w:szCs w:val="21"/>
                <w:lang w:val="en-US" w:eastAsia="zh-CN"/>
              </w:rPr>
            </w:pPr>
            <w:bookmarkStart w:id="48" w:name="_GoBack"/>
            <w:bookmarkEnd w:id="48"/>
            <w:r>
              <w:rPr>
                <w:rFonts w:hint="eastAsia" w:ascii="宋体" w:hAnsi="宋体" w:eastAsia="宋体" w:cs="宋体"/>
                <w:b/>
                <w:bCs/>
                <w:color w:val="auto"/>
                <w:spacing w:val="16"/>
                <w:kern w:val="0"/>
                <w:sz w:val="21"/>
                <w:szCs w:val="21"/>
                <w:highlight w:val="none"/>
                <w:lang w:val="en-US" w:eastAsia="zh-CN"/>
              </w:rPr>
              <w:t>表10-4 环保投资一览表</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31"/>
              <w:gridCol w:w="5388"/>
              <w:gridCol w:w="171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30" w:type="dxa"/>
                  <w:tcBorders>
                    <w:tl2br w:val="nil"/>
                    <w:tr2bl w:val="nil"/>
                  </w:tcBorders>
                  <w:vAlign w:val="center"/>
                </w:tcPr>
                <w:p>
                  <w:pPr>
                    <w:spacing w:line="240" w:lineRule="auto"/>
                    <w:jc w:val="center"/>
                    <w:rPr>
                      <w:rFonts w:hint="eastAsia" w:ascii="宋体" w:hAnsi="宋体" w:eastAsia="宋体" w:cs="宋体"/>
                      <w:color w:val="auto"/>
                      <w:spacing w:val="16"/>
                      <w:kern w:val="0"/>
                      <w:sz w:val="21"/>
                      <w:szCs w:val="21"/>
                      <w:highlight w:val="none"/>
                      <w:vertAlign w:val="baseline"/>
                      <w:lang w:val="en-US" w:eastAsia="zh-CN"/>
                    </w:rPr>
                  </w:pPr>
                  <w:r>
                    <w:rPr>
                      <w:rFonts w:hint="eastAsia" w:ascii="宋体" w:hAnsi="宋体" w:eastAsia="宋体" w:cs="宋体"/>
                      <w:color w:val="auto"/>
                      <w:spacing w:val="16"/>
                      <w:kern w:val="0"/>
                      <w:sz w:val="21"/>
                      <w:szCs w:val="21"/>
                      <w:highlight w:val="none"/>
                      <w:vertAlign w:val="baseline"/>
                      <w:lang w:val="en-US" w:eastAsia="zh-CN"/>
                    </w:rPr>
                    <w:t>项目</w:t>
                  </w:r>
                </w:p>
              </w:tc>
              <w:tc>
                <w:tcPr>
                  <w:tcW w:w="5385" w:type="dxa"/>
                  <w:tcBorders>
                    <w:tl2br w:val="nil"/>
                    <w:tr2bl w:val="nil"/>
                  </w:tcBorders>
                  <w:vAlign w:val="center"/>
                </w:tcPr>
                <w:p>
                  <w:pPr>
                    <w:spacing w:line="240" w:lineRule="auto"/>
                    <w:jc w:val="center"/>
                    <w:rPr>
                      <w:rFonts w:hint="eastAsia" w:ascii="宋体" w:hAnsi="宋体" w:eastAsia="宋体" w:cs="宋体"/>
                      <w:color w:val="auto"/>
                      <w:spacing w:val="16"/>
                      <w:kern w:val="0"/>
                      <w:sz w:val="21"/>
                      <w:szCs w:val="21"/>
                      <w:highlight w:val="none"/>
                      <w:vertAlign w:val="baseline"/>
                      <w:lang w:val="en-US" w:eastAsia="zh-CN"/>
                    </w:rPr>
                  </w:pPr>
                  <w:r>
                    <w:rPr>
                      <w:rFonts w:hint="eastAsia" w:ascii="宋体" w:hAnsi="宋体" w:eastAsia="宋体" w:cs="宋体"/>
                      <w:color w:val="auto"/>
                      <w:spacing w:val="16"/>
                      <w:kern w:val="0"/>
                      <w:sz w:val="21"/>
                      <w:szCs w:val="21"/>
                      <w:highlight w:val="none"/>
                      <w:vertAlign w:val="baseline"/>
                      <w:lang w:val="en-US" w:eastAsia="zh-CN"/>
                    </w:rPr>
                    <w:t>环保设施（措施）</w:t>
                  </w:r>
                </w:p>
              </w:tc>
              <w:tc>
                <w:tcPr>
                  <w:tcW w:w="1710" w:type="dxa"/>
                  <w:tcBorders>
                    <w:tl2br w:val="nil"/>
                    <w:tr2bl w:val="nil"/>
                  </w:tcBorders>
                  <w:vAlign w:val="center"/>
                </w:tcPr>
                <w:p>
                  <w:pPr>
                    <w:spacing w:line="240" w:lineRule="auto"/>
                    <w:jc w:val="center"/>
                    <w:rPr>
                      <w:rFonts w:hint="eastAsia" w:ascii="宋体" w:hAnsi="宋体" w:eastAsia="宋体" w:cs="宋体"/>
                      <w:color w:val="auto"/>
                      <w:spacing w:val="16"/>
                      <w:kern w:val="0"/>
                      <w:sz w:val="21"/>
                      <w:szCs w:val="21"/>
                      <w:highlight w:val="none"/>
                      <w:vertAlign w:val="baseline"/>
                      <w:lang w:val="en-US" w:eastAsia="zh-CN"/>
                    </w:rPr>
                  </w:pPr>
                  <w:r>
                    <w:rPr>
                      <w:rFonts w:hint="eastAsia" w:ascii="宋体" w:hAnsi="宋体" w:eastAsia="宋体" w:cs="宋体"/>
                      <w:color w:val="auto"/>
                      <w:spacing w:val="16"/>
                      <w:kern w:val="0"/>
                      <w:sz w:val="21"/>
                      <w:szCs w:val="21"/>
                      <w:highlight w:val="none"/>
                      <w:vertAlign w:val="baseline"/>
                      <w:lang w:val="en-US" w:eastAsia="zh-CN"/>
                    </w:rPr>
                    <w:t>投资额（万元）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30" w:type="dxa"/>
                  <w:vMerge w:val="restart"/>
                  <w:tcBorders>
                    <w:tl2br w:val="nil"/>
                    <w:tr2bl w:val="nil"/>
                  </w:tcBorders>
                  <w:vAlign w:val="center"/>
                </w:tcPr>
                <w:p>
                  <w:pPr>
                    <w:spacing w:line="240" w:lineRule="auto"/>
                    <w:jc w:val="center"/>
                    <w:rPr>
                      <w:rFonts w:hint="eastAsia" w:ascii="宋体" w:hAnsi="宋体" w:eastAsia="宋体" w:cs="宋体"/>
                      <w:color w:val="auto"/>
                      <w:spacing w:val="16"/>
                      <w:kern w:val="0"/>
                      <w:sz w:val="21"/>
                      <w:szCs w:val="21"/>
                      <w:highlight w:val="none"/>
                      <w:vertAlign w:val="baseline"/>
                      <w:lang w:val="en-US" w:eastAsia="zh-CN"/>
                    </w:rPr>
                  </w:pPr>
                  <w:r>
                    <w:rPr>
                      <w:rFonts w:hint="eastAsia" w:ascii="宋体" w:hAnsi="宋体" w:eastAsia="宋体" w:cs="宋体"/>
                      <w:color w:val="auto"/>
                      <w:spacing w:val="16"/>
                      <w:kern w:val="0"/>
                      <w:sz w:val="21"/>
                      <w:szCs w:val="21"/>
                      <w:highlight w:val="none"/>
                      <w:vertAlign w:val="baseline"/>
                      <w:lang w:val="en-US" w:eastAsia="zh-CN"/>
                    </w:rPr>
                    <w:t>直线加速器工作场所</w:t>
                  </w:r>
                </w:p>
              </w:tc>
              <w:tc>
                <w:tcPr>
                  <w:tcW w:w="5385" w:type="dxa"/>
                  <w:tcBorders>
                    <w:tl2br w:val="nil"/>
                    <w:tr2bl w:val="nil"/>
                  </w:tcBorders>
                  <w:vAlign w:val="center"/>
                </w:tcPr>
                <w:p>
                  <w:pPr>
                    <w:spacing w:line="240" w:lineRule="auto"/>
                    <w:jc w:val="center"/>
                    <w:rPr>
                      <w:rFonts w:hint="eastAsia" w:ascii="宋体" w:hAnsi="宋体" w:eastAsia="宋体" w:cs="宋体"/>
                      <w:color w:val="auto"/>
                      <w:spacing w:val="16"/>
                      <w:kern w:val="0"/>
                      <w:sz w:val="21"/>
                      <w:szCs w:val="21"/>
                      <w:highlight w:val="none"/>
                      <w:vertAlign w:val="baseline"/>
                      <w:lang w:val="en-US" w:eastAsia="zh-CN"/>
                    </w:rPr>
                  </w:pPr>
                  <w:r>
                    <w:rPr>
                      <w:rFonts w:hint="eastAsia" w:ascii="宋体" w:hAnsi="宋体" w:eastAsia="宋体" w:cs="宋体"/>
                      <w:color w:val="auto"/>
                      <w:spacing w:val="16"/>
                      <w:kern w:val="0"/>
                      <w:sz w:val="21"/>
                      <w:szCs w:val="21"/>
                      <w:highlight w:val="none"/>
                      <w:vertAlign w:val="baseline"/>
                      <w:lang w:val="en-US" w:eastAsia="zh-CN"/>
                    </w:rPr>
                    <w:t>墙体屏蔽、防护门</w:t>
                  </w:r>
                </w:p>
              </w:tc>
              <w:tc>
                <w:tcPr>
                  <w:tcW w:w="1710" w:type="dxa"/>
                  <w:tcBorders>
                    <w:tl2br w:val="nil"/>
                    <w:tr2bl w:val="nil"/>
                  </w:tcBorders>
                  <w:vAlign w:val="center"/>
                </w:tcPr>
                <w:p>
                  <w:pPr>
                    <w:spacing w:line="240" w:lineRule="auto"/>
                    <w:jc w:val="center"/>
                    <w:rPr>
                      <w:rFonts w:hint="eastAsia" w:ascii="宋体" w:hAnsi="宋体" w:eastAsia="宋体" w:cs="宋体"/>
                      <w:color w:val="auto"/>
                      <w:spacing w:val="16"/>
                      <w:kern w:val="0"/>
                      <w:sz w:val="21"/>
                      <w:szCs w:val="21"/>
                      <w:highlight w:val="none"/>
                      <w:vertAlign w:val="baseline"/>
                      <w:lang w:val="en-US" w:eastAsia="zh-CN"/>
                    </w:rPr>
                  </w:pPr>
                  <w:r>
                    <w:rPr>
                      <w:rFonts w:hint="eastAsia" w:ascii="宋体" w:hAnsi="宋体" w:eastAsia="宋体" w:cs="宋体"/>
                      <w:color w:val="auto"/>
                      <w:spacing w:val="16"/>
                      <w:kern w:val="0"/>
                      <w:sz w:val="21"/>
                      <w:szCs w:val="21"/>
                      <w:highlight w:val="none"/>
                      <w:vertAlign w:val="baseline"/>
                      <w:lang w:val="en-US" w:eastAsia="zh-CN"/>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30" w:type="dxa"/>
                  <w:vMerge w:val="continue"/>
                  <w:tcBorders>
                    <w:tl2br w:val="nil"/>
                    <w:tr2bl w:val="nil"/>
                  </w:tcBorders>
                  <w:vAlign w:val="center"/>
                </w:tcPr>
                <w:p>
                  <w:pPr>
                    <w:spacing w:line="240" w:lineRule="auto"/>
                    <w:jc w:val="center"/>
                    <w:rPr>
                      <w:rFonts w:hint="eastAsia" w:ascii="宋体" w:hAnsi="宋体" w:eastAsia="宋体" w:cs="宋体"/>
                      <w:color w:val="auto"/>
                      <w:spacing w:val="16"/>
                      <w:kern w:val="0"/>
                      <w:sz w:val="21"/>
                      <w:szCs w:val="21"/>
                      <w:highlight w:val="none"/>
                      <w:vertAlign w:val="baseline"/>
                      <w:lang w:val="en-US" w:eastAsia="zh-CN"/>
                    </w:rPr>
                  </w:pPr>
                </w:p>
              </w:tc>
              <w:tc>
                <w:tcPr>
                  <w:tcW w:w="5385" w:type="dxa"/>
                  <w:tcBorders>
                    <w:tl2br w:val="nil"/>
                    <w:tr2bl w:val="nil"/>
                  </w:tcBorders>
                  <w:vAlign w:val="center"/>
                </w:tcPr>
                <w:p>
                  <w:pPr>
                    <w:spacing w:line="240" w:lineRule="auto"/>
                    <w:jc w:val="center"/>
                    <w:rPr>
                      <w:rFonts w:hint="eastAsia" w:ascii="宋体" w:hAnsi="宋体" w:eastAsia="宋体" w:cs="宋体"/>
                      <w:color w:val="auto"/>
                      <w:spacing w:val="16"/>
                      <w:kern w:val="0"/>
                      <w:sz w:val="21"/>
                      <w:szCs w:val="21"/>
                      <w:highlight w:val="none"/>
                      <w:vertAlign w:val="baseline"/>
                      <w:lang w:val="en-US" w:eastAsia="zh-CN"/>
                    </w:rPr>
                  </w:pPr>
                  <w:r>
                    <w:rPr>
                      <w:rFonts w:hint="eastAsia" w:ascii="宋体" w:hAnsi="宋体" w:eastAsia="宋体" w:cs="宋体"/>
                      <w:color w:val="auto"/>
                      <w:spacing w:val="16"/>
                      <w:kern w:val="0"/>
                      <w:sz w:val="21"/>
                      <w:szCs w:val="21"/>
                      <w:highlight w:val="none"/>
                      <w:vertAlign w:val="baseline"/>
                      <w:lang w:val="en-US" w:eastAsia="zh-CN"/>
                    </w:rPr>
                    <w:t>监控、对讲系统</w:t>
                  </w:r>
                </w:p>
              </w:tc>
              <w:tc>
                <w:tcPr>
                  <w:tcW w:w="1710" w:type="dxa"/>
                  <w:tcBorders>
                    <w:tl2br w:val="nil"/>
                    <w:tr2bl w:val="nil"/>
                  </w:tcBorders>
                  <w:vAlign w:val="center"/>
                </w:tcPr>
                <w:p>
                  <w:pPr>
                    <w:spacing w:line="240" w:lineRule="auto"/>
                    <w:jc w:val="center"/>
                    <w:rPr>
                      <w:rFonts w:hint="eastAsia" w:ascii="宋体" w:hAnsi="宋体" w:eastAsia="宋体" w:cs="宋体"/>
                      <w:color w:val="auto"/>
                      <w:spacing w:val="16"/>
                      <w:kern w:val="0"/>
                      <w:sz w:val="21"/>
                      <w:szCs w:val="21"/>
                      <w:highlight w:val="none"/>
                      <w:vertAlign w:val="baseline"/>
                      <w:lang w:val="en-US" w:eastAsia="zh-CN"/>
                    </w:rPr>
                  </w:pPr>
                  <w:r>
                    <w:rPr>
                      <w:rFonts w:hint="eastAsia" w:ascii="宋体" w:hAnsi="宋体" w:eastAsia="宋体" w:cs="宋体"/>
                      <w:color w:val="auto"/>
                      <w:spacing w:val="16"/>
                      <w:kern w:val="0"/>
                      <w:sz w:val="21"/>
                      <w:szCs w:val="21"/>
                      <w:highlight w:val="none"/>
                      <w:vertAlign w:val="baseline"/>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630" w:type="dxa"/>
                  <w:vMerge w:val="continue"/>
                  <w:tcBorders>
                    <w:tl2br w:val="nil"/>
                    <w:tr2bl w:val="nil"/>
                  </w:tcBorders>
                  <w:vAlign w:val="center"/>
                </w:tcPr>
                <w:p>
                  <w:pPr>
                    <w:spacing w:line="240" w:lineRule="auto"/>
                    <w:jc w:val="center"/>
                    <w:rPr>
                      <w:rFonts w:hint="eastAsia" w:ascii="宋体" w:hAnsi="宋体" w:eastAsia="宋体" w:cs="宋体"/>
                      <w:color w:val="auto"/>
                      <w:spacing w:val="16"/>
                      <w:kern w:val="0"/>
                      <w:sz w:val="21"/>
                      <w:szCs w:val="21"/>
                      <w:highlight w:val="none"/>
                      <w:vertAlign w:val="baseline"/>
                      <w:lang w:val="en-US" w:eastAsia="zh-CN"/>
                    </w:rPr>
                  </w:pPr>
                </w:p>
              </w:tc>
              <w:tc>
                <w:tcPr>
                  <w:tcW w:w="5385" w:type="dxa"/>
                  <w:tcBorders>
                    <w:tl2br w:val="nil"/>
                    <w:tr2bl w:val="nil"/>
                  </w:tcBorders>
                  <w:vAlign w:val="center"/>
                </w:tcPr>
                <w:p>
                  <w:pPr>
                    <w:spacing w:line="240" w:lineRule="auto"/>
                    <w:jc w:val="center"/>
                    <w:rPr>
                      <w:rFonts w:hint="eastAsia" w:ascii="宋体" w:hAnsi="宋体" w:eastAsia="宋体" w:cs="宋体"/>
                      <w:color w:val="auto"/>
                      <w:spacing w:val="16"/>
                      <w:kern w:val="0"/>
                      <w:sz w:val="21"/>
                      <w:szCs w:val="21"/>
                      <w:highlight w:val="none"/>
                      <w:vertAlign w:val="baseline"/>
                      <w:lang w:val="en-US" w:eastAsia="zh-CN"/>
                    </w:rPr>
                  </w:pPr>
                  <w:r>
                    <w:rPr>
                      <w:rFonts w:hint="eastAsia" w:ascii="宋体" w:hAnsi="宋体" w:eastAsia="宋体" w:cs="宋体"/>
                      <w:color w:val="auto"/>
                      <w:spacing w:val="16"/>
                      <w:kern w:val="0"/>
                      <w:sz w:val="21"/>
                      <w:szCs w:val="21"/>
                      <w:highlight w:val="none"/>
                      <w:vertAlign w:val="baseline"/>
                      <w:lang w:val="en-US" w:eastAsia="zh-CN"/>
                    </w:rPr>
                    <w:t>电离辐射警示标志、中文警示说明、工作状态指示灯</w:t>
                  </w:r>
                </w:p>
              </w:tc>
              <w:tc>
                <w:tcPr>
                  <w:tcW w:w="1710" w:type="dxa"/>
                  <w:tcBorders>
                    <w:tl2br w:val="nil"/>
                    <w:tr2bl w:val="nil"/>
                  </w:tcBorders>
                  <w:vAlign w:val="center"/>
                </w:tcPr>
                <w:p>
                  <w:pPr>
                    <w:spacing w:line="240" w:lineRule="auto"/>
                    <w:jc w:val="center"/>
                    <w:rPr>
                      <w:rFonts w:hint="eastAsia" w:ascii="宋体" w:hAnsi="宋体" w:eastAsia="宋体" w:cs="宋体"/>
                      <w:color w:val="auto"/>
                      <w:spacing w:val="16"/>
                      <w:kern w:val="0"/>
                      <w:sz w:val="21"/>
                      <w:szCs w:val="21"/>
                      <w:highlight w:val="none"/>
                      <w:vertAlign w:val="baseline"/>
                      <w:lang w:val="en-US" w:eastAsia="zh-CN"/>
                    </w:rPr>
                  </w:pPr>
                  <w:r>
                    <w:rPr>
                      <w:rFonts w:hint="eastAsia" w:ascii="宋体" w:hAnsi="宋体" w:eastAsia="宋体" w:cs="宋体"/>
                      <w:color w:val="auto"/>
                      <w:spacing w:val="16"/>
                      <w:kern w:val="0"/>
                      <w:sz w:val="21"/>
                      <w:szCs w:val="21"/>
                      <w:highlight w:val="none"/>
                      <w:vertAlign w:val="baseline"/>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30" w:type="dxa"/>
                  <w:vMerge w:val="continue"/>
                  <w:tcBorders>
                    <w:tl2br w:val="nil"/>
                    <w:tr2bl w:val="nil"/>
                  </w:tcBorders>
                  <w:vAlign w:val="center"/>
                </w:tcPr>
                <w:p>
                  <w:pPr>
                    <w:spacing w:line="240" w:lineRule="auto"/>
                    <w:jc w:val="center"/>
                    <w:rPr>
                      <w:rFonts w:hint="eastAsia" w:ascii="宋体" w:hAnsi="宋体" w:eastAsia="宋体" w:cs="宋体"/>
                      <w:color w:val="auto"/>
                      <w:spacing w:val="16"/>
                      <w:kern w:val="0"/>
                      <w:sz w:val="21"/>
                      <w:szCs w:val="21"/>
                      <w:highlight w:val="none"/>
                      <w:vertAlign w:val="baseline"/>
                      <w:lang w:val="en-US" w:eastAsia="zh-CN"/>
                    </w:rPr>
                  </w:pPr>
                </w:p>
              </w:tc>
              <w:tc>
                <w:tcPr>
                  <w:tcW w:w="5385" w:type="dxa"/>
                  <w:tcBorders>
                    <w:tl2br w:val="nil"/>
                    <w:tr2bl w:val="nil"/>
                  </w:tcBorders>
                  <w:vAlign w:val="center"/>
                </w:tcPr>
                <w:p>
                  <w:pPr>
                    <w:spacing w:line="240" w:lineRule="auto"/>
                    <w:jc w:val="center"/>
                    <w:rPr>
                      <w:rFonts w:hint="eastAsia" w:ascii="宋体" w:hAnsi="宋体" w:eastAsia="宋体" w:cs="宋体"/>
                      <w:color w:val="auto"/>
                      <w:spacing w:val="16"/>
                      <w:kern w:val="0"/>
                      <w:sz w:val="21"/>
                      <w:szCs w:val="21"/>
                      <w:highlight w:val="none"/>
                      <w:vertAlign w:val="baseline"/>
                      <w:lang w:val="en-US" w:eastAsia="zh-CN" w:bidi="ar-SA"/>
                    </w:rPr>
                  </w:pPr>
                  <w:r>
                    <w:rPr>
                      <w:rFonts w:hint="eastAsia" w:ascii="宋体" w:hAnsi="宋体" w:eastAsia="宋体" w:cs="宋体"/>
                      <w:color w:val="auto"/>
                      <w:spacing w:val="16"/>
                      <w:kern w:val="0"/>
                      <w:sz w:val="21"/>
                      <w:szCs w:val="21"/>
                      <w:highlight w:val="none"/>
                      <w:vertAlign w:val="baseline"/>
                      <w:lang w:val="en-US" w:eastAsia="zh-CN"/>
                    </w:rPr>
                    <w:t>机房通风系统、紧急停机开关</w:t>
                  </w:r>
                </w:p>
              </w:tc>
              <w:tc>
                <w:tcPr>
                  <w:tcW w:w="1710" w:type="dxa"/>
                  <w:tcBorders>
                    <w:tl2br w:val="nil"/>
                    <w:tr2bl w:val="nil"/>
                  </w:tcBorders>
                  <w:vAlign w:val="center"/>
                </w:tcPr>
                <w:p>
                  <w:pPr>
                    <w:spacing w:line="240" w:lineRule="auto"/>
                    <w:jc w:val="center"/>
                    <w:rPr>
                      <w:rFonts w:hint="eastAsia" w:ascii="宋体" w:hAnsi="宋体" w:eastAsia="宋体" w:cs="宋体"/>
                      <w:color w:val="auto"/>
                      <w:spacing w:val="16"/>
                      <w:kern w:val="0"/>
                      <w:sz w:val="21"/>
                      <w:szCs w:val="21"/>
                      <w:highlight w:val="none"/>
                      <w:vertAlign w:val="baseline"/>
                      <w:lang w:val="en-US" w:eastAsia="zh-CN"/>
                    </w:rPr>
                  </w:pPr>
                  <w:r>
                    <w:rPr>
                      <w:rFonts w:hint="eastAsia" w:ascii="宋体" w:hAnsi="宋体" w:eastAsia="宋体" w:cs="宋体"/>
                      <w:color w:val="auto"/>
                      <w:spacing w:val="16"/>
                      <w:kern w:val="0"/>
                      <w:sz w:val="21"/>
                      <w:szCs w:val="21"/>
                      <w:highlight w:val="none"/>
                      <w:vertAlign w:val="baseline"/>
                      <w:lang w:val="en-US" w:eastAsia="zh-CN"/>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30" w:type="dxa"/>
                  <w:vMerge w:val="continue"/>
                  <w:tcBorders>
                    <w:tl2br w:val="nil"/>
                    <w:tr2bl w:val="nil"/>
                  </w:tcBorders>
                  <w:vAlign w:val="center"/>
                </w:tcPr>
                <w:p>
                  <w:pPr>
                    <w:spacing w:line="240" w:lineRule="auto"/>
                    <w:jc w:val="center"/>
                    <w:rPr>
                      <w:rFonts w:hint="eastAsia" w:ascii="宋体" w:hAnsi="宋体" w:eastAsia="宋体" w:cs="宋体"/>
                      <w:color w:val="auto"/>
                      <w:spacing w:val="16"/>
                      <w:kern w:val="0"/>
                      <w:sz w:val="21"/>
                      <w:szCs w:val="21"/>
                      <w:highlight w:val="none"/>
                      <w:vertAlign w:val="baseline"/>
                      <w:lang w:val="en-US" w:eastAsia="zh-CN"/>
                    </w:rPr>
                  </w:pPr>
                </w:p>
              </w:tc>
              <w:tc>
                <w:tcPr>
                  <w:tcW w:w="5385" w:type="dxa"/>
                  <w:tcBorders>
                    <w:tl2br w:val="nil"/>
                    <w:tr2bl w:val="nil"/>
                  </w:tcBorders>
                  <w:vAlign w:val="center"/>
                </w:tcPr>
                <w:p>
                  <w:pPr>
                    <w:spacing w:line="240" w:lineRule="auto"/>
                    <w:jc w:val="center"/>
                    <w:rPr>
                      <w:rFonts w:hint="eastAsia" w:ascii="宋体" w:hAnsi="宋体" w:eastAsia="宋体" w:cs="宋体"/>
                      <w:color w:val="auto"/>
                      <w:spacing w:val="16"/>
                      <w:kern w:val="0"/>
                      <w:sz w:val="21"/>
                      <w:szCs w:val="21"/>
                      <w:highlight w:val="none"/>
                      <w:vertAlign w:val="baseline"/>
                      <w:lang w:val="en-US" w:eastAsia="zh-CN" w:bidi="ar-SA"/>
                    </w:rPr>
                  </w:pPr>
                  <w:r>
                    <w:rPr>
                      <w:rFonts w:hint="eastAsia" w:ascii="宋体" w:hAnsi="宋体" w:eastAsia="宋体" w:cs="宋体"/>
                      <w:color w:val="auto"/>
                      <w:spacing w:val="16"/>
                      <w:kern w:val="0"/>
                      <w:sz w:val="21"/>
                      <w:szCs w:val="21"/>
                      <w:highlight w:val="none"/>
                      <w:vertAlign w:val="baseline"/>
                      <w:lang w:val="en-US" w:eastAsia="zh-CN"/>
                    </w:rPr>
                    <w:t>门机连锁、门灯连锁</w:t>
                  </w:r>
                </w:p>
              </w:tc>
              <w:tc>
                <w:tcPr>
                  <w:tcW w:w="1710" w:type="dxa"/>
                  <w:tcBorders>
                    <w:tl2br w:val="nil"/>
                    <w:tr2bl w:val="nil"/>
                  </w:tcBorders>
                  <w:vAlign w:val="center"/>
                </w:tcPr>
                <w:p>
                  <w:pPr>
                    <w:spacing w:line="240" w:lineRule="auto"/>
                    <w:jc w:val="center"/>
                    <w:rPr>
                      <w:rFonts w:hint="eastAsia" w:ascii="宋体" w:hAnsi="宋体" w:eastAsia="宋体" w:cs="宋体"/>
                      <w:color w:val="auto"/>
                      <w:spacing w:val="16"/>
                      <w:kern w:val="0"/>
                      <w:sz w:val="21"/>
                      <w:szCs w:val="21"/>
                      <w:highlight w:val="none"/>
                      <w:vertAlign w:val="baseline"/>
                      <w:lang w:val="en-US" w:eastAsia="zh-CN"/>
                    </w:rPr>
                  </w:pPr>
                  <w:r>
                    <w:rPr>
                      <w:rFonts w:hint="eastAsia" w:ascii="宋体" w:hAnsi="宋体" w:eastAsia="宋体" w:cs="宋体"/>
                      <w:color w:val="auto"/>
                      <w:spacing w:val="16"/>
                      <w:kern w:val="0"/>
                      <w:sz w:val="21"/>
                      <w:szCs w:val="21"/>
                      <w:highlight w:val="none"/>
                      <w:vertAlign w:val="baseline"/>
                      <w:lang w:val="en-US" w:eastAsia="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30" w:type="dxa"/>
                  <w:vMerge w:val="continue"/>
                  <w:tcBorders>
                    <w:tl2br w:val="nil"/>
                    <w:tr2bl w:val="nil"/>
                  </w:tcBorders>
                  <w:vAlign w:val="center"/>
                </w:tcPr>
                <w:p>
                  <w:pPr>
                    <w:spacing w:line="240" w:lineRule="auto"/>
                    <w:jc w:val="center"/>
                    <w:rPr>
                      <w:rFonts w:hint="eastAsia" w:ascii="宋体" w:hAnsi="宋体" w:eastAsia="宋体" w:cs="宋体"/>
                      <w:color w:val="auto"/>
                      <w:spacing w:val="16"/>
                      <w:kern w:val="0"/>
                      <w:sz w:val="21"/>
                      <w:szCs w:val="21"/>
                      <w:highlight w:val="none"/>
                      <w:vertAlign w:val="baseline"/>
                      <w:lang w:val="en-US" w:eastAsia="zh-CN"/>
                    </w:rPr>
                  </w:pPr>
                </w:p>
              </w:tc>
              <w:tc>
                <w:tcPr>
                  <w:tcW w:w="5385" w:type="dxa"/>
                  <w:tcBorders>
                    <w:tl2br w:val="nil"/>
                    <w:tr2bl w:val="nil"/>
                  </w:tcBorders>
                  <w:vAlign w:val="center"/>
                </w:tcPr>
                <w:p>
                  <w:pPr>
                    <w:spacing w:line="240" w:lineRule="auto"/>
                    <w:jc w:val="center"/>
                    <w:rPr>
                      <w:rFonts w:hint="eastAsia" w:ascii="宋体" w:hAnsi="宋体" w:eastAsia="宋体" w:cs="宋体"/>
                      <w:color w:val="auto"/>
                      <w:spacing w:val="16"/>
                      <w:kern w:val="0"/>
                      <w:sz w:val="21"/>
                      <w:szCs w:val="21"/>
                      <w:highlight w:val="none"/>
                      <w:vertAlign w:val="baseline"/>
                      <w:lang w:val="en-US" w:eastAsia="zh-CN"/>
                    </w:rPr>
                  </w:pPr>
                  <w:r>
                    <w:rPr>
                      <w:rFonts w:hint="eastAsia" w:ascii="宋体" w:hAnsi="宋体" w:eastAsia="宋体" w:cs="宋体"/>
                      <w:color w:val="auto"/>
                      <w:spacing w:val="16"/>
                      <w:kern w:val="0"/>
                      <w:sz w:val="21"/>
                      <w:szCs w:val="21"/>
                      <w:highlight w:val="none"/>
                      <w:vertAlign w:val="baseline"/>
                      <w:lang w:val="en-US" w:eastAsia="zh-CN"/>
                    </w:rPr>
                    <w:t>固定式辐射剂量监测仪、个人剂量报警仪等设备</w:t>
                  </w:r>
                </w:p>
              </w:tc>
              <w:tc>
                <w:tcPr>
                  <w:tcW w:w="1710" w:type="dxa"/>
                  <w:tcBorders>
                    <w:tl2br w:val="nil"/>
                    <w:tr2bl w:val="nil"/>
                  </w:tcBorders>
                  <w:vAlign w:val="center"/>
                </w:tcPr>
                <w:p>
                  <w:pPr>
                    <w:spacing w:line="240" w:lineRule="auto"/>
                    <w:jc w:val="center"/>
                    <w:rPr>
                      <w:rFonts w:hint="eastAsia" w:ascii="宋体" w:hAnsi="宋体" w:eastAsia="宋体" w:cs="宋体"/>
                      <w:color w:val="auto"/>
                      <w:spacing w:val="16"/>
                      <w:kern w:val="0"/>
                      <w:sz w:val="21"/>
                      <w:szCs w:val="21"/>
                      <w:highlight w:val="none"/>
                      <w:vertAlign w:val="baseline"/>
                      <w:lang w:val="en-US" w:eastAsia="zh-CN"/>
                    </w:rPr>
                  </w:pPr>
                  <w:r>
                    <w:rPr>
                      <w:rFonts w:hint="eastAsia" w:ascii="宋体" w:hAnsi="宋体" w:eastAsia="宋体" w:cs="宋体"/>
                      <w:color w:val="auto"/>
                      <w:spacing w:val="16"/>
                      <w:kern w:val="0"/>
                      <w:sz w:val="21"/>
                      <w:szCs w:val="21"/>
                      <w:highlight w:val="none"/>
                      <w:vertAlign w:val="baseline"/>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015" w:type="dxa"/>
                  <w:gridSpan w:val="2"/>
                  <w:tcBorders>
                    <w:tl2br w:val="nil"/>
                    <w:tr2bl w:val="nil"/>
                  </w:tcBorders>
                  <w:vAlign w:val="center"/>
                </w:tcPr>
                <w:p>
                  <w:pPr>
                    <w:spacing w:line="240" w:lineRule="auto"/>
                    <w:jc w:val="center"/>
                    <w:rPr>
                      <w:rFonts w:hint="eastAsia" w:ascii="宋体" w:hAnsi="宋体" w:eastAsia="宋体" w:cs="宋体"/>
                      <w:color w:val="auto"/>
                      <w:spacing w:val="16"/>
                      <w:kern w:val="0"/>
                      <w:sz w:val="21"/>
                      <w:szCs w:val="21"/>
                      <w:highlight w:val="none"/>
                      <w:vertAlign w:val="baseline"/>
                      <w:lang w:val="en-US" w:eastAsia="zh-CN"/>
                    </w:rPr>
                  </w:pPr>
                  <w:r>
                    <w:rPr>
                      <w:rFonts w:hint="eastAsia" w:ascii="宋体" w:hAnsi="宋体" w:eastAsia="宋体" w:cs="宋体"/>
                      <w:color w:val="auto"/>
                      <w:spacing w:val="16"/>
                      <w:kern w:val="0"/>
                      <w:sz w:val="21"/>
                      <w:szCs w:val="21"/>
                      <w:highlight w:val="none"/>
                      <w:vertAlign w:val="baseline"/>
                      <w:lang w:val="en-US" w:eastAsia="zh-CN"/>
                    </w:rPr>
                    <w:t>环保投资合计</w:t>
                  </w:r>
                </w:p>
              </w:tc>
              <w:tc>
                <w:tcPr>
                  <w:tcW w:w="1710" w:type="dxa"/>
                  <w:tcBorders>
                    <w:tl2br w:val="nil"/>
                    <w:tr2bl w:val="nil"/>
                  </w:tcBorders>
                  <w:vAlign w:val="center"/>
                </w:tcPr>
                <w:p>
                  <w:pPr>
                    <w:spacing w:line="240" w:lineRule="auto"/>
                    <w:jc w:val="center"/>
                    <w:rPr>
                      <w:rFonts w:hint="eastAsia" w:ascii="宋体" w:hAnsi="宋体" w:eastAsia="宋体" w:cs="宋体"/>
                      <w:color w:val="auto"/>
                      <w:spacing w:val="16"/>
                      <w:kern w:val="0"/>
                      <w:sz w:val="21"/>
                      <w:szCs w:val="21"/>
                      <w:highlight w:val="none"/>
                      <w:vertAlign w:val="baseline"/>
                      <w:lang w:val="en-US" w:eastAsia="zh-CN"/>
                    </w:rPr>
                  </w:pPr>
                  <w:r>
                    <w:rPr>
                      <w:rFonts w:hint="eastAsia" w:ascii="宋体" w:hAnsi="宋体" w:eastAsia="宋体" w:cs="宋体"/>
                      <w:color w:val="auto"/>
                      <w:spacing w:val="16"/>
                      <w:kern w:val="0"/>
                      <w:sz w:val="21"/>
                      <w:szCs w:val="21"/>
                      <w:highlight w:val="none"/>
                      <w:vertAlign w:val="baseline"/>
                      <w:lang w:val="en-US" w:eastAsia="zh-CN"/>
                    </w:rPr>
                    <w:t>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015" w:type="dxa"/>
                  <w:gridSpan w:val="2"/>
                  <w:tcBorders>
                    <w:tl2br w:val="nil"/>
                    <w:tr2bl w:val="nil"/>
                  </w:tcBorders>
                  <w:vAlign w:val="center"/>
                </w:tcPr>
                <w:p>
                  <w:pPr>
                    <w:spacing w:line="240" w:lineRule="auto"/>
                    <w:jc w:val="center"/>
                    <w:rPr>
                      <w:rFonts w:hint="eastAsia" w:ascii="宋体" w:hAnsi="宋体" w:eastAsia="宋体" w:cs="宋体"/>
                      <w:color w:val="auto"/>
                      <w:spacing w:val="16"/>
                      <w:kern w:val="0"/>
                      <w:sz w:val="21"/>
                      <w:szCs w:val="21"/>
                      <w:highlight w:val="none"/>
                      <w:vertAlign w:val="baseline"/>
                      <w:lang w:val="en-US" w:eastAsia="zh-CN"/>
                    </w:rPr>
                  </w:pPr>
                  <w:r>
                    <w:rPr>
                      <w:rFonts w:hint="eastAsia" w:ascii="宋体" w:hAnsi="宋体" w:eastAsia="宋体" w:cs="宋体"/>
                      <w:color w:val="auto"/>
                      <w:spacing w:val="16"/>
                      <w:kern w:val="0"/>
                      <w:sz w:val="21"/>
                      <w:szCs w:val="21"/>
                      <w:highlight w:val="none"/>
                      <w:vertAlign w:val="baseline"/>
                      <w:lang w:val="en-US" w:eastAsia="zh-CN"/>
                    </w:rPr>
                    <w:t>本项目总投资</w:t>
                  </w:r>
                </w:p>
              </w:tc>
              <w:tc>
                <w:tcPr>
                  <w:tcW w:w="1710" w:type="dxa"/>
                  <w:tcBorders>
                    <w:tl2br w:val="nil"/>
                    <w:tr2bl w:val="nil"/>
                  </w:tcBorders>
                  <w:vAlign w:val="center"/>
                </w:tcPr>
                <w:p>
                  <w:pPr>
                    <w:spacing w:line="240" w:lineRule="auto"/>
                    <w:jc w:val="center"/>
                    <w:rPr>
                      <w:rFonts w:hint="eastAsia" w:ascii="宋体" w:hAnsi="宋体" w:eastAsia="宋体" w:cs="宋体"/>
                      <w:color w:val="auto"/>
                      <w:spacing w:val="16"/>
                      <w:kern w:val="0"/>
                      <w:sz w:val="21"/>
                      <w:szCs w:val="21"/>
                      <w:highlight w:val="none"/>
                      <w:vertAlign w:val="baseline"/>
                      <w:lang w:val="en-US" w:eastAsia="zh-CN"/>
                    </w:rPr>
                  </w:pPr>
                  <w:r>
                    <w:rPr>
                      <w:rFonts w:hint="eastAsia" w:ascii="宋体" w:hAnsi="宋体" w:eastAsia="宋体" w:cs="宋体"/>
                      <w:color w:val="auto"/>
                      <w:spacing w:val="16"/>
                      <w:kern w:val="0"/>
                      <w:sz w:val="21"/>
                      <w:szCs w:val="21"/>
                      <w:highlight w:val="none"/>
                      <w:vertAlign w:val="baseline"/>
                      <w:lang w:val="en-US" w:eastAsia="zh-CN"/>
                    </w:rPr>
                    <w:t>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015" w:type="dxa"/>
                  <w:gridSpan w:val="2"/>
                  <w:tcBorders>
                    <w:tl2br w:val="nil"/>
                    <w:tr2bl w:val="nil"/>
                  </w:tcBorders>
                  <w:vAlign w:val="center"/>
                </w:tcPr>
                <w:p>
                  <w:pPr>
                    <w:spacing w:line="240" w:lineRule="auto"/>
                    <w:jc w:val="center"/>
                    <w:rPr>
                      <w:rFonts w:hint="eastAsia" w:ascii="宋体" w:hAnsi="宋体" w:eastAsia="宋体" w:cs="宋体"/>
                      <w:color w:val="auto"/>
                      <w:spacing w:val="16"/>
                      <w:kern w:val="0"/>
                      <w:sz w:val="21"/>
                      <w:szCs w:val="21"/>
                      <w:highlight w:val="none"/>
                      <w:vertAlign w:val="baseline"/>
                      <w:lang w:val="en-US" w:eastAsia="zh-CN"/>
                    </w:rPr>
                  </w:pPr>
                  <w:r>
                    <w:rPr>
                      <w:rFonts w:hint="eastAsia" w:ascii="宋体" w:hAnsi="宋体" w:eastAsia="宋体" w:cs="宋体"/>
                      <w:color w:val="auto"/>
                      <w:spacing w:val="16"/>
                      <w:kern w:val="0"/>
                      <w:sz w:val="21"/>
                      <w:szCs w:val="21"/>
                      <w:highlight w:val="none"/>
                      <w:vertAlign w:val="baseline"/>
                      <w:lang w:val="en-US" w:eastAsia="zh-CN"/>
                    </w:rPr>
                    <w:t>环保投资占总投资比例</w:t>
                  </w:r>
                </w:p>
              </w:tc>
              <w:tc>
                <w:tcPr>
                  <w:tcW w:w="1710" w:type="dxa"/>
                  <w:tcBorders>
                    <w:tl2br w:val="nil"/>
                    <w:tr2bl w:val="nil"/>
                  </w:tcBorders>
                  <w:vAlign w:val="center"/>
                </w:tcPr>
                <w:p>
                  <w:pPr>
                    <w:spacing w:line="240" w:lineRule="auto"/>
                    <w:jc w:val="center"/>
                    <w:rPr>
                      <w:rFonts w:hint="eastAsia" w:ascii="宋体" w:hAnsi="宋体" w:eastAsia="宋体" w:cs="宋体"/>
                      <w:color w:val="auto"/>
                      <w:spacing w:val="16"/>
                      <w:kern w:val="0"/>
                      <w:sz w:val="21"/>
                      <w:szCs w:val="21"/>
                      <w:highlight w:val="none"/>
                      <w:vertAlign w:val="baseline"/>
                      <w:lang w:val="en-US" w:eastAsia="zh-CN"/>
                    </w:rPr>
                  </w:pPr>
                  <w:r>
                    <w:rPr>
                      <w:rFonts w:hint="eastAsia" w:ascii="宋体" w:hAnsi="宋体" w:eastAsia="宋体" w:cs="宋体"/>
                      <w:color w:val="auto"/>
                      <w:spacing w:val="16"/>
                      <w:kern w:val="0"/>
                      <w:sz w:val="21"/>
                      <w:szCs w:val="21"/>
                      <w:highlight w:val="none"/>
                      <w:vertAlign w:val="baseline"/>
                      <w:lang w:val="en-US" w:eastAsia="zh-CN"/>
                    </w:rPr>
                    <w:t>88.89%</w:t>
                  </w:r>
                </w:p>
              </w:tc>
            </w:tr>
          </w:tbl>
          <w:p>
            <w:pPr>
              <w:spacing w:line="360" w:lineRule="auto"/>
              <w:ind w:firstLine="480" w:firstLineChars="200"/>
              <w:jc w:val="center"/>
              <w:rPr>
                <w:rFonts w:hint="eastAsia" w:ascii="宋体" w:hAnsi="宋体" w:eastAsia="宋体" w:cs="宋体"/>
                <w:color w:val="0000FF"/>
                <w:kern w:val="0"/>
                <w:sz w:val="24"/>
                <w:highlight w:val="none"/>
                <w:lang w:val="en-US" w:eastAsia="zh-CN"/>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7" w:hRule="atLeast"/>
        </w:trPr>
        <w:tc>
          <w:tcPr>
            <w:tcW w:w="8522" w:type="dxa"/>
          </w:tcPr>
          <w:p>
            <w:pPr>
              <w:spacing w:line="360" w:lineRule="auto"/>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10.2三废的治理</w:t>
            </w:r>
          </w:p>
          <w:p>
            <w:pPr>
              <w:autoSpaceDE w:val="0"/>
              <w:autoSpaceDN w:val="0"/>
              <w:adjustRightInd w:val="0"/>
              <w:spacing w:line="360" w:lineRule="auto"/>
              <w:jc w:val="left"/>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10.2.1废气</w:t>
            </w:r>
          </w:p>
          <w:p>
            <w:pPr>
              <w:autoSpaceDE w:val="0"/>
              <w:autoSpaceDN w:val="0"/>
              <w:adjustRightInd w:val="0"/>
              <w:spacing w:line="360" w:lineRule="auto"/>
              <w:ind w:firstLine="465"/>
              <w:jc w:val="left"/>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rPr>
              <w:t>加速器运行过程中，空气在X射线作用下分解产生少量的臭氧、氮氧化物等有害气体，排入大气，臭氧常温下</w:t>
            </w:r>
            <w:r>
              <w:rPr>
                <w:rFonts w:hint="eastAsia" w:ascii="宋体" w:hAnsi="宋体" w:eastAsia="宋体" w:cs="宋体"/>
                <w:color w:val="auto"/>
                <w:sz w:val="24"/>
                <w:szCs w:val="24"/>
                <w:highlight w:val="none"/>
                <w:lang w:val="en-US" w:eastAsia="zh-CN"/>
              </w:rPr>
              <w:t>5</w:t>
            </w:r>
            <w:r>
              <w:rPr>
                <w:rFonts w:hint="eastAsia" w:ascii="宋体" w:hAnsi="宋体" w:eastAsia="宋体" w:cs="宋体"/>
                <w:color w:val="auto"/>
                <w:sz w:val="24"/>
                <w:szCs w:val="24"/>
                <w:highlight w:val="none"/>
              </w:rPr>
              <w:t>0分钟可自行分解为氧气，对环境影响较小。本项目加速器机房通风系统</w:t>
            </w:r>
            <w:r>
              <w:rPr>
                <w:rFonts w:hint="eastAsia" w:ascii="宋体" w:hAnsi="宋体" w:eastAsia="宋体" w:cs="宋体"/>
                <w:color w:val="auto"/>
                <w:kern w:val="0"/>
                <w:sz w:val="24"/>
                <w:szCs w:val="24"/>
                <w:highlight w:val="none"/>
              </w:rPr>
              <w:t>进行通风换气</w:t>
            </w:r>
            <w:r>
              <w:rPr>
                <w:rFonts w:hint="eastAsia" w:ascii="宋体" w:hAnsi="宋体" w:eastAsia="宋体" w:cs="宋体"/>
                <w:color w:val="auto"/>
                <w:sz w:val="24"/>
                <w:szCs w:val="24"/>
                <w:highlight w:val="none"/>
              </w:rPr>
              <w:t>，防止机房空气中臭氧、氮氧化物等有害气体累积。</w:t>
            </w:r>
            <w:r>
              <w:rPr>
                <w:rFonts w:hint="eastAsia" w:ascii="宋体" w:hAnsi="宋体" w:eastAsia="宋体" w:cs="宋体"/>
                <w:color w:val="auto"/>
                <w:sz w:val="24"/>
                <w:szCs w:val="24"/>
                <w:highlight w:val="none"/>
                <w:lang w:val="en-US" w:eastAsia="zh-CN"/>
              </w:rPr>
              <w:t>本项目</w:t>
            </w:r>
            <w:r>
              <w:rPr>
                <w:rFonts w:hint="eastAsia" w:ascii="宋体" w:hAnsi="宋体" w:eastAsia="宋体" w:cs="宋体"/>
                <w:color w:val="auto"/>
                <w:sz w:val="24"/>
                <w:szCs w:val="24"/>
                <w:highlight w:val="none"/>
              </w:rPr>
              <w:t>加速器机房拟设置通风量为1</w:t>
            </w:r>
            <w:r>
              <w:rPr>
                <w:rFonts w:hint="eastAsia" w:ascii="宋体" w:hAnsi="宋体" w:eastAsia="宋体" w:cs="宋体"/>
                <w:color w:val="auto"/>
                <w:sz w:val="24"/>
                <w:szCs w:val="24"/>
                <w:highlight w:val="none"/>
                <w:lang w:val="en-US" w:eastAsia="zh-CN"/>
              </w:rPr>
              <w:t>2</w:t>
            </w:r>
            <w:r>
              <w:rPr>
                <w:rFonts w:hint="eastAsia" w:ascii="宋体" w:hAnsi="宋体" w:eastAsia="宋体" w:cs="宋体"/>
                <w:color w:val="auto"/>
                <w:sz w:val="24"/>
                <w:szCs w:val="24"/>
                <w:highlight w:val="none"/>
              </w:rPr>
              <w:t>00m</w:t>
            </w:r>
            <w:r>
              <w:rPr>
                <w:rFonts w:hint="eastAsia" w:ascii="宋体" w:hAnsi="宋体" w:eastAsia="宋体" w:cs="宋体"/>
                <w:color w:val="auto"/>
                <w:sz w:val="24"/>
                <w:szCs w:val="24"/>
                <w:highlight w:val="none"/>
                <w:vertAlign w:val="superscript"/>
              </w:rPr>
              <w:t>3</w:t>
            </w:r>
            <w:r>
              <w:rPr>
                <w:rFonts w:hint="eastAsia" w:ascii="宋体" w:hAnsi="宋体" w:eastAsia="宋体" w:cs="宋体"/>
                <w:color w:val="auto"/>
                <w:sz w:val="24"/>
                <w:szCs w:val="24"/>
                <w:highlight w:val="none"/>
              </w:rPr>
              <w:t>/h，能达到每小时换气</w:t>
            </w:r>
            <w:r>
              <w:rPr>
                <w:rFonts w:hint="eastAsia" w:ascii="宋体" w:hAnsi="宋体" w:eastAsia="宋体" w:cs="宋体"/>
                <w:color w:val="auto"/>
                <w:sz w:val="24"/>
                <w:szCs w:val="24"/>
                <w:highlight w:val="none"/>
                <w:lang w:val="en-US" w:eastAsia="zh-CN"/>
              </w:rPr>
              <w:t>4.37</w:t>
            </w:r>
            <w:r>
              <w:rPr>
                <w:rFonts w:hint="eastAsia" w:ascii="宋体" w:hAnsi="宋体" w:eastAsia="宋体" w:cs="宋体"/>
                <w:color w:val="auto"/>
                <w:sz w:val="24"/>
                <w:szCs w:val="24"/>
                <w:highlight w:val="none"/>
              </w:rPr>
              <w:t>次，能够满足</w:t>
            </w:r>
            <w:r>
              <w:rPr>
                <w:rFonts w:hint="eastAsia" w:ascii="宋体" w:hAnsi="宋体" w:eastAsia="宋体" w:cs="宋体"/>
                <w:color w:val="auto"/>
                <w:sz w:val="24"/>
                <w:szCs w:val="24"/>
                <w:highlight w:val="none"/>
                <w:lang w:eastAsia="zh-CN"/>
              </w:rPr>
              <w:t>《放射治疗放射防护要求》（GBZ121-2020）</w:t>
            </w:r>
            <w:r>
              <w:rPr>
                <w:rFonts w:hint="eastAsia" w:ascii="宋体" w:hAnsi="宋体" w:eastAsia="宋体" w:cs="宋体"/>
                <w:color w:val="auto"/>
                <w:sz w:val="24"/>
                <w:szCs w:val="24"/>
                <w:highlight w:val="none"/>
                <w:lang w:val="en-US" w:eastAsia="zh-CN"/>
              </w:rPr>
              <w:t>和</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放射治疗辐射安全与防护要求</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HJ1198-2021</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中“治疗室通风换气次数应不小于4次/h”的要求。</w:t>
            </w:r>
          </w:p>
          <w:p>
            <w:pPr>
              <w:autoSpaceDE w:val="0"/>
              <w:autoSpaceDN w:val="0"/>
              <w:adjustRightInd w:val="0"/>
              <w:spacing w:line="360" w:lineRule="auto"/>
              <w:jc w:val="left"/>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10.2.2放射性废物</w:t>
            </w:r>
          </w:p>
          <w:p>
            <w:pPr>
              <w:autoSpaceDE w:val="0"/>
              <w:autoSpaceDN w:val="0"/>
              <w:adjustRightInd w:val="0"/>
              <w:spacing w:line="360" w:lineRule="auto"/>
              <w:ind w:firstLine="465"/>
              <w:jc w:val="left"/>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本项目直线加速器所产生的放射性废物，主要来源于加速器使用一定年限或退役时产生的废靶件，含有一定的放射性它不但有短半衰期放射性核素，还有长半衰期的核素，因而应妥善处理。</w:t>
            </w:r>
          </w:p>
          <w:p>
            <w:pPr>
              <w:autoSpaceDE w:val="0"/>
              <w:autoSpaceDN w:val="0"/>
              <w:adjustRightInd w:val="0"/>
              <w:spacing w:line="360" w:lineRule="auto"/>
              <w:ind w:firstLine="465"/>
              <w:jc w:val="left"/>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val="en-US" w:eastAsia="zh-CN"/>
              </w:rPr>
              <w:t>更换下来的</w:t>
            </w:r>
            <w:r>
              <w:rPr>
                <w:rFonts w:hint="eastAsia" w:ascii="宋体" w:hAnsi="宋体" w:eastAsia="宋体" w:cs="宋体"/>
                <w:color w:val="auto"/>
                <w:kern w:val="0"/>
                <w:sz w:val="24"/>
                <w:szCs w:val="24"/>
                <w:highlight w:val="none"/>
              </w:rPr>
              <w:t>废靶件</w:t>
            </w:r>
            <w:r>
              <w:rPr>
                <w:rFonts w:hint="eastAsia" w:ascii="宋体" w:hAnsi="宋体" w:eastAsia="宋体" w:cs="宋体"/>
                <w:color w:val="auto"/>
                <w:kern w:val="0"/>
                <w:sz w:val="24"/>
                <w:szCs w:val="24"/>
                <w:highlight w:val="none"/>
                <w:lang w:eastAsia="zh-CN"/>
              </w:rPr>
              <w:t>送黑龙江省城市放射性废物贮存库</w:t>
            </w:r>
            <w:r>
              <w:rPr>
                <w:rFonts w:hint="eastAsia" w:ascii="宋体" w:hAnsi="宋体" w:eastAsia="宋体" w:cs="宋体"/>
                <w:color w:val="auto"/>
                <w:kern w:val="0"/>
                <w:sz w:val="24"/>
                <w:szCs w:val="24"/>
                <w:highlight w:val="none"/>
              </w:rPr>
              <w:t>，任何情况下不得私自处置，因此放射性废物正常情况下不会对环境造成影响。</w:t>
            </w:r>
          </w:p>
          <w:p>
            <w:pPr>
              <w:autoSpaceDE w:val="0"/>
              <w:autoSpaceDN w:val="0"/>
              <w:adjustRightInd w:val="0"/>
              <w:spacing w:line="360" w:lineRule="auto"/>
              <w:jc w:val="left"/>
              <w:rPr>
                <w:rFonts w:hint="eastAsia" w:ascii="宋体" w:hAnsi="宋体" w:eastAsia="宋体" w:cs="宋体"/>
                <w:b/>
                <w:color w:val="auto"/>
                <w:sz w:val="24"/>
                <w:highlight w:val="none"/>
              </w:rPr>
            </w:pPr>
            <w:r>
              <w:rPr>
                <w:rFonts w:hint="eastAsia" w:ascii="宋体" w:hAnsi="宋体" w:eastAsia="宋体" w:cs="宋体"/>
                <w:b/>
                <w:color w:val="auto"/>
                <w:sz w:val="24"/>
                <w:highlight w:val="none"/>
              </w:rPr>
              <w:t>10.2.3其他</w:t>
            </w:r>
          </w:p>
          <w:p>
            <w:pPr>
              <w:spacing w:line="360" w:lineRule="auto"/>
              <w:ind w:firstLine="480" w:firstLineChars="200"/>
              <w:rPr>
                <w:rFonts w:hint="eastAsia" w:ascii="宋体" w:hAnsi="宋体" w:eastAsia="宋体" w:cs="宋体"/>
                <w:color w:val="0000FF"/>
                <w:sz w:val="24"/>
                <w:highlight w:val="none"/>
              </w:rPr>
            </w:pPr>
            <w:r>
              <w:rPr>
                <w:rFonts w:hint="eastAsia" w:ascii="宋体" w:hAnsi="宋体" w:eastAsia="宋体" w:cs="宋体"/>
                <w:color w:val="auto"/>
                <w:sz w:val="24"/>
                <w:highlight w:val="none"/>
              </w:rPr>
              <w:t>本项目新建机房的取暖依托医院现有的取暖设施；本项目不新增工作人员</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rPr>
              <w:t>在医院内部调剂，因此，本项目工作人员不新增生活废水和生活垃圾的产生，均依托医院原有的处理设施，</w:t>
            </w:r>
            <w:r>
              <w:rPr>
                <w:rFonts w:hint="eastAsia" w:ascii="宋体" w:hAnsi="宋体" w:eastAsia="宋体" w:cs="宋体"/>
                <w:color w:val="auto"/>
                <w:kern w:val="0"/>
                <w:sz w:val="24"/>
                <w:highlight w:val="none"/>
              </w:rPr>
              <w:t>生活污水依托现有的污水处理系统进行处置，生活垃圾统一收集后交由环卫部门统一处理。</w:t>
            </w:r>
            <w:r>
              <w:rPr>
                <w:rFonts w:hint="eastAsia" w:ascii="宋体" w:hAnsi="宋体" w:eastAsia="宋体" w:cs="宋体"/>
                <w:bCs/>
                <w:color w:val="auto"/>
                <w:kern w:val="2"/>
                <w:sz w:val="24"/>
                <w:szCs w:val="24"/>
                <w:highlight w:val="none"/>
                <w:lang w:val="en-US" w:eastAsia="zh-CN" w:bidi="ar-SA"/>
              </w:rPr>
              <w:t>本项目运行过程中，循环水泵会产生噪声，源强约为70dB(A)，循环水泵位于设备机房，通过选取低噪设备、房间隔声等措施后，设备机房外噪声值能够满足《工业企业厂界环境噪声排放标准》（GB12348-2008）中2类标准的要求。</w:t>
            </w:r>
          </w:p>
        </w:tc>
      </w:tr>
    </w:tbl>
    <w:p>
      <w:pPr>
        <w:rPr>
          <w:rFonts w:hint="eastAsia" w:ascii="宋体" w:hAnsi="宋体" w:eastAsia="宋体" w:cs="宋体"/>
          <w:b/>
          <w:color w:val="0000FF"/>
          <w:sz w:val="28"/>
          <w:szCs w:val="28"/>
          <w:highlight w:val="none"/>
        </w:rPr>
      </w:pPr>
      <w:r>
        <w:rPr>
          <w:rFonts w:hint="eastAsia" w:ascii="宋体" w:hAnsi="宋体" w:eastAsia="宋体" w:cs="宋体"/>
          <w:b/>
          <w:color w:val="0000FF"/>
          <w:sz w:val="28"/>
          <w:szCs w:val="28"/>
          <w:highlight w:val="none"/>
        </w:rPr>
        <w:br w:type="page"/>
      </w:r>
    </w:p>
    <w:p>
      <w:pPr>
        <w:spacing w:line="360" w:lineRule="auto"/>
        <w:outlineLvl w:val="0"/>
        <w:rPr>
          <w:rFonts w:hint="eastAsia" w:ascii="宋体" w:hAnsi="宋体" w:eastAsia="宋体" w:cs="宋体"/>
          <w:b/>
          <w:color w:val="auto"/>
          <w:sz w:val="28"/>
          <w:szCs w:val="28"/>
          <w:highlight w:val="none"/>
        </w:rPr>
      </w:pPr>
      <w:bookmarkStart w:id="10" w:name="_Toc18684"/>
      <w:r>
        <w:rPr>
          <w:rFonts w:hint="eastAsia" w:ascii="宋体" w:hAnsi="宋体" w:eastAsia="宋体" w:cs="宋体"/>
          <w:b/>
          <w:color w:val="auto"/>
          <w:sz w:val="28"/>
          <w:szCs w:val="28"/>
          <w:highlight w:val="none"/>
        </w:rPr>
        <w:t>表11 环境影响分析</w:t>
      </w:r>
      <w:bookmarkEnd w:id="10"/>
    </w:p>
    <w:tbl>
      <w:tblPr>
        <w:tblStyle w:val="18"/>
        <w:tblW w:w="8933" w:type="dxa"/>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8933"/>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360" w:hRule="atLeast"/>
        </w:trPr>
        <w:tc>
          <w:tcPr>
            <w:tcW w:w="8933" w:type="dxa"/>
          </w:tcPr>
          <w:p>
            <w:pPr>
              <w:spacing w:line="360" w:lineRule="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11.1建设阶段对环境的影响</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本项目新建加速器机房以及配套用房，施工期主要为机房以及配套用房的建设和装修。施工期主要的污染因子有：噪声、扬尘、废水，固体废物等。项目</w:t>
            </w:r>
            <w:r>
              <w:rPr>
                <w:rFonts w:hint="eastAsia" w:ascii="宋体" w:hAnsi="宋体" w:eastAsia="宋体" w:cs="宋体"/>
                <w:color w:val="auto"/>
                <w:sz w:val="24"/>
                <w:highlight w:val="none"/>
                <w:lang w:val="en-US" w:eastAsia="zh-CN"/>
              </w:rPr>
              <w:t>建设</w:t>
            </w:r>
            <w:r>
              <w:rPr>
                <w:rFonts w:hint="eastAsia" w:ascii="宋体" w:hAnsi="宋体" w:eastAsia="宋体" w:cs="宋体"/>
                <w:color w:val="auto"/>
                <w:sz w:val="24"/>
                <w:highlight w:val="none"/>
              </w:rPr>
              <w:t>过程中，医院的医疗服务工作仍将正常进行。施工产生的污染特别是扬尘和噪声可能对医院自身环境以及周围的环境带来较大影响。</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施工期主要的污染因子有</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rPr>
              <w:t>噪声、扬尘、废水、固体废物等。</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（1）扬尘影响及防治措施</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项目施工主要为加速器机房的建设和装修时产生的粉尘。</w:t>
            </w:r>
            <w:r>
              <w:rPr>
                <w:rFonts w:hint="eastAsia" w:ascii="宋体" w:hAnsi="宋体" w:eastAsia="宋体" w:cs="宋体"/>
                <w:color w:val="auto"/>
                <w:sz w:val="24"/>
                <w:highlight w:val="none"/>
                <w:lang w:val="en-US" w:eastAsia="zh-CN"/>
              </w:rPr>
              <w:t>本项目</w:t>
            </w:r>
            <w:r>
              <w:rPr>
                <w:rFonts w:hint="eastAsia" w:ascii="宋体" w:hAnsi="宋体" w:eastAsia="宋体" w:cs="宋体"/>
                <w:color w:val="auto"/>
                <w:sz w:val="24"/>
                <w:highlight w:val="none"/>
              </w:rPr>
              <w:t>工程量</w:t>
            </w:r>
            <w:r>
              <w:rPr>
                <w:rFonts w:hint="eastAsia" w:ascii="宋体" w:hAnsi="宋体" w:eastAsia="宋体" w:cs="宋体"/>
                <w:color w:val="auto"/>
                <w:sz w:val="24"/>
                <w:highlight w:val="none"/>
                <w:lang w:val="en-US" w:eastAsia="zh-CN"/>
              </w:rPr>
              <w:t>较</w:t>
            </w:r>
            <w:r>
              <w:rPr>
                <w:rFonts w:hint="eastAsia" w:ascii="宋体" w:hAnsi="宋体" w:eastAsia="宋体" w:cs="宋体"/>
                <w:color w:val="auto"/>
                <w:sz w:val="24"/>
                <w:highlight w:val="none"/>
              </w:rPr>
              <w:t>小，</w:t>
            </w:r>
            <w:r>
              <w:rPr>
                <w:rFonts w:hint="eastAsia" w:ascii="宋体" w:hAnsi="宋体" w:eastAsia="宋体" w:cs="宋体"/>
                <w:color w:val="auto"/>
                <w:sz w:val="24"/>
                <w:highlight w:val="none"/>
                <w:lang w:val="en-US" w:eastAsia="zh-CN"/>
              </w:rPr>
              <w:t>施工周期短，</w:t>
            </w:r>
            <w:r>
              <w:rPr>
                <w:rFonts w:hint="eastAsia" w:ascii="宋体" w:hAnsi="宋体" w:eastAsia="宋体" w:cs="宋体"/>
                <w:color w:val="auto"/>
                <w:sz w:val="24"/>
                <w:highlight w:val="none"/>
              </w:rPr>
              <w:t>影响有限。为减小施工期间扬尘对外界环境的影响，施工单位应做到以下几点：开挖现场架设施工围挡，封闭施工；现场加强施工现场管理，进行适当的加湿处理；施工运送弃渣车辆，车厢应严密清洁，尽量减少渣土运输时</w:t>
            </w:r>
            <w:r>
              <w:rPr>
                <w:rFonts w:hint="eastAsia" w:ascii="宋体" w:hAnsi="宋体" w:eastAsia="宋体" w:cs="宋体"/>
                <w:color w:val="auto"/>
                <w:sz w:val="24"/>
                <w:highlight w:val="none"/>
                <w:lang w:val="en-US" w:eastAsia="zh-CN"/>
              </w:rPr>
              <w:t>洒</w:t>
            </w:r>
            <w:r>
              <w:rPr>
                <w:rFonts w:hint="eastAsia" w:ascii="宋体" w:hAnsi="宋体" w:eastAsia="宋体" w:cs="宋体"/>
                <w:color w:val="auto"/>
                <w:sz w:val="24"/>
                <w:highlight w:val="none"/>
              </w:rPr>
              <w:t>落在地面上，避免产生扬尘对周边居民正常生活造成影响。</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（2）废水影响及防治措施</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施工期间产生的废水主要表现为施工</w:t>
            </w:r>
            <w:r>
              <w:rPr>
                <w:rFonts w:hint="eastAsia" w:ascii="宋体" w:hAnsi="宋体" w:eastAsia="宋体" w:cs="宋体"/>
                <w:color w:val="auto"/>
                <w:sz w:val="24"/>
                <w:highlight w:val="none"/>
                <w:lang w:val="en-US" w:eastAsia="zh-CN"/>
              </w:rPr>
              <w:t>人员</w:t>
            </w:r>
            <w:r>
              <w:rPr>
                <w:rFonts w:hint="eastAsia" w:ascii="宋体" w:hAnsi="宋体" w:eastAsia="宋体" w:cs="宋体"/>
                <w:color w:val="auto"/>
                <w:sz w:val="24"/>
                <w:highlight w:val="none"/>
              </w:rPr>
              <w:t>的生活污水。生活污水依托医院现有的排水系统，进入市政污水管网。不会对环境产生影响。</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（3）噪声影响及防治措施</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主要来自于机房开挖、机房装修及现场处理等。清</w:t>
            </w:r>
            <w:r>
              <w:rPr>
                <w:rFonts w:hint="eastAsia" w:ascii="宋体" w:hAnsi="宋体" w:eastAsia="宋体" w:cs="宋体"/>
                <w:color w:val="auto"/>
                <w:sz w:val="24"/>
                <w:highlight w:val="none"/>
                <w:lang w:val="en-US" w:eastAsia="zh-CN"/>
              </w:rPr>
              <w:t>土</w:t>
            </w:r>
            <w:r>
              <w:rPr>
                <w:rFonts w:hint="eastAsia" w:ascii="宋体" w:hAnsi="宋体" w:eastAsia="宋体" w:cs="宋体"/>
                <w:color w:val="auto"/>
                <w:sz w:val="24"/>
                <w:highlight w:val="none"/>
              </w:rPr>
              <w:t>装车运输时，严禁野蛮装卸</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rPr>
              <w:t>运渣车辆在居民区禁止鸣笛；选取噪音低、振动小的设备操作；合理安排施工时间，不在午休期间和夜间施工。采取上述措施</w:t>
            </w:r>
            <w:r>
              <w:rPr>
                <w:rFonts w:hint="eastAsia" w:ascii="宋体" w:hAnsi="宋体" w:eastAsia="宋体" w:cs="宋体"/>
                <w:color w:val="auto"/>
                <w:sz w:val="24"/>
                <w:highlight w:val="none"/>
                <w:lang w:val="en-US" w:eastAsia="zh-CN"/>
              </w:rPr>
              <w:t>后，施工期噪声能够满足</w:t>
            </w:r>
            <w:r>
              <w:rPr>
                <w:rFonts w:hint="eastAsia" w:ascii="宋体" w:hAnsi="宋体" w:eastAsia="宋体" w:cs="宋体"/>
                <w:color w:val="auto"/>
                <w:sz w:val="24"/>
                <w:szCs w:val="24"/>
                <w:highlight w:val="none"/>
              </w:rPr>
              <w:t>《建筑施工场界环境噪声排放标准》(GB12523-2011)</w:t>
            </w:r>
            <w:r>
              <w:rPr>
                <w:rFonts w:hint="eastAsia" w:ascii="宋体" w:hAnsi="宋体" w:eastAsia="宋体" w:cs="宋体"/>
                <w:color w:val="auto"/>
                <w:sz w:val="24"/>
                <w:szCs w:val="24"/>
                <w:highlight w:val="none"/>
                <w:lang w:val="en-US" w:eastAsia="zh-CN"/>
              </w:rPr>
              <w:t>的要求</w:t>
            </w:r>
            <w:r>
              <w:rPr>
                <w:rFonts w:hint="eastAsia" w:ascii="宋体" w:hAnsi="宋体" w:eastAsia="宋体" w:cs="宋体"/>
                <w:color w:val="auto"/>
                <w:sz w:val="24"/>
                <w:highlight w:val="none"/>
              </w:rPr>
              <w:t>。</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（4）固体废物及防治措施</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主要为弃方、建筑垃圾以及施工人员产生的生活垃圾。施工期产生的固体废物应妥善处理，运至市政部门指定的地点堆存。生活垃圾依托医院现有的生活垃圾收集系统收集后交由环卫部门处理。</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综上所述，本项目工程量小，施工期短，对外界的影响是暂时的，随着施工的逐步完成，项目施工期的环境影响随之消除。</w:t>
            </w:r>
          </w:p>
          <w:p>
            <w:pPr>
              <w:pStyle w:val="25"/>
              <w:rPr>
                <w:rFonts w:hint="eastAsia" w:ascii="宋体" w:hAnsi="宋体" w:eastAsia="宋体" w:cs="宋体"/>
                <w:lang w:val="en-US" w:eastAsia="zh-CN"/>
              </w:rPr>
            </w:pPr>
            <w:r>
              <w:rPr>
                <w:rFonts w:hint="eastAsia" w:ascii="宋体" w:hAnsi="宋体" w:eastAsia="宋体" w:cs="宋体"/>
                <w:color w:val="auto"/>
                <w:sz w:val="24"/>
                <w:highlight w:val="none"/>
                <w:lang w:val="en-US" w:eastAsia="zh-CN"/>
              </w:rPr>
              <w:t xml:space="preserve">    </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360" w:hRule="atLeast"/>
        </w:trPr>
        <w:tc>
          <w:tcPr>
            <w:tcW w:w="8933" w:type="dxa"/>
          </w:tcPr>
          <w:p>
            <w:pPr>
              <w:pStyle w:val="25"/>
              <w:spacing w:line="360" w:lineRule="auto"/>
              <w:rPr>
                <w:rFonts w:hint="eastAsia" w:ascii="宋体" w:hAnsi="宋体" w:eastAsia="宋体" w:cs="宋体"/>
                <w:b/>
                <w:color w:val="auto"/>
                <w:kern w:val="2"/>
                <w:sz w:val="24"/>
                <w:szCs w:val="24"/>
                <w:highlight w:val="none"/>
                <w:lang w:val="en-US" w:eastAsia="zh-CN" w:bidi="ar-SA"/>
              </w:rPr>
            </w:pPr>
            <w:r>
              <w:rPr>
                <w:rFonts w:hint="eastAsia" w:ascii="宋体" w:hAnsi="宋体" w:eastAsia="宋体" w:cs="宋体"/>
                <w:b/>
                <w:color w:val="auto"/>
                <w:kern w:val="2"/>
                <w:sz w:val="24"/>
                <w:szCs w:val="24"/>
                <w:highlight w:val="none"/>
                <w:lang w:val="en-US" w:eastAsia="zh-CN" w:bidi="ar-SA"/>
              </w:rPr>
              <w:t>11.2 调试阶段对环境的影响</w:t>
            </w:r>
          </w:p>
          <w:p>
            <w:pPr>
              <w:spacing w:line="360" w:lineRule="auto"/>
              <w:ind w:firstLine="435"/>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本项目建设完成后，需对设备进行调试。调试过程中由于设备通电，会产生电离辐射，对调试工作人员及周围公众造成不利影响，在调试过程中，调试工作人员严格按规程操作，穿戴相应的个人防护用品，且机房内及周围区域均禁止人员出入。</w:t>
            </w:r>
          </w:p>
          <w:p>
            <w:pPr>
              <w:pStyle w:val="25"/>
              <w:spacing w:line="360" w:lineRule="auto"/>
              <w:ind w:firstLine="435"/>
              <w:rPr>
                <w:rFonts w:hint="eastAsia" w:ascii="宋体" w:hAnsi="宋体" w:eastAsia="宋体" w:cs="宋体"/>
                <w:lang w:val="en-US" w:eastAsia="zh-CN"/>
              </w:rPr>
            </w:pPr>
            <w:r>
              <w:rPr>
                <w:rFonts w:hint="eastAsia" w:ascii="宋体" w:hAnsi="宋体" w:eastAsia="宋体" w:cs="宋体"/>
                <w:color w:val="auto"/>
                <w:lang w:val="en-US" w:eastAsia="zh-CN"/>
              </w:rPr>
              <w:t>调试时间预计较短，在调试工作结束后，调试阶段对外环境的影响随之消除</w:t>
            </w:r>
            <w:r>
              <w:rPr>
                <w:rFonts w:hint="eastAsia" w:ascii="宋体" w:hAnsi="宋体" w:eastAsia="宋体" w:cs="宋体"/>
                <w:color w:val="0000FF"/>
                <w:lang w:val="en-US" w:eastAsia="zh-CN"/>
              </w:rPr>
              <w:t>。</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57" w:hRule="atLeast"/>
        </w:trPr>
        <w:tc>
          <w:tcPr>
            <w:tcW w:w="8933" w:type="dxa"/>
          </w:tcPr>
          <w:p>
            <w:pPr>
              <w:spacing w:line="360" w:lineRule="auto"/>
              <w:jc w:val="left"/>
              <w:rPr>
                <w:rFonts w:hint="eastAsia" w:ascii="宋体" w:hAnsi="宋体" w:eastAsia="宋体" w:cs="宋体"/>
                <w:b/>
                <w:color w:val="auto"/>
                <w:sz w:val="24"/>
                <w:highlight w:val="none"/>
              </w:rPr>
            </w:pPr>
            <w:r>
              <w:rPr>
                <w:rFonts w:hint="eastAsia" w:ascii="宋体" w:hAnsi="宋体" w:eastAsia="宋体" w:cs="宋体"/>
                <w:b/>
                <w:color w:val="auto"/>
                <w:sz w:val="24"/>
                <w:highlight w:val="none"/>
              </w:rPr>
              <w:t>11.</w:t>
            </w:r>
            <w:r>
              <w:rPr>
                <w:rFonts w:hint="eastAsia" w:ascii="宋体" w:hAnsi="宋体" w:eastAsia="宋体" w:cs="宋体"/>
                <w:b/>
                <w:color w:val="auto"/>
                <w:sz w:val="24"/>
                <w:highlight w:val="none"/>
                <w:lang w:val="en-US" w:eastAsia="zh-CN"/>
              </w:rPr>
              <w:t>3</w:t>
            </w:r>
            <w:r>
              <w:rPr>
                <w:rFonts w:hint="eastAsia" w:ascii="宋体" w:hAnsi="宋体" w:eastAsia="宋体" w:cs="宋体"/>
                <w:b/>
                <w:color w:val="auto"/>
                <w:sz w:val="24"/>
                <w:highlight w:val="none"/>
              </w:rPr>
              <w:t>运行阶段对环境的影响</w:t>
            </w:r>
          </w:p>
          <w:p>
            <w:pPr>
              <w:spacing w:line="360" w:lineRule="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11.</w:t>
            </w:r>
            <w:r>
              <w:rPr>
                <w:rFonts w:hint="eastAsia" w:ascii="宋体" w:hAnsi="宋体" w:eastAsia="宋体" w:cs="宋体"/>
                <w:b/>
                <w:color w:val="auto"/>
                <w:sz w:val="24"/>
                <w:highlight w:val="none"/>
                <w:lang w:val="en-US" w:eastAsia="zh-CN"/>
              </w:rPr>
              <w:t>3</w:t>
            </w:r>
            <w:r>
              <w:rPr>
                <w:rFonts w:hint="eastAsia" w:ascii="宋体" w:hAnsi="宋体" w:eastAsia="宋体" w:cs="宋体"/>
                <w:b/>
                <w:color w:val="auto"/>
                <w:sz w:val="24"/>
                <w:highlight w:val="none"/>
              </w:rPr>
              <w:t>.1 加速器的放射性影响分析</w:t>
            </w:r>
          </w:p>
          <w:p>
            <w:pPr>
              <w:pStyle w:val="25"/>
              <w:spacing w:line="360" w:lineRule="auto"/>
              <w:ind w:firstLine="480"/>
              <w:rPr>
                <w:rFonts w:hint="eastAsia" w:ascii="宋体" w:hAnsi="宋体" w:eastAsia="宋体" w:cs="宋体"/>
                <w:b w:val="0"/>
                <w:bCs/>
                <w:color w:val="auto"/>
                <w:sz w:val="24"/>
                <w:highlight w:val="none"/>
                <w:lang w:val="en-US" w:eastAsia="zh-CN"/>
              </w:rPr>
            </w:pPr>
            <w:r>
              <w:rPr>
                <w:rFonts w:hint="eastAsia" w:ascii="宋体" w:hAnsi="宋体" w:eastAsia="宋体" w:cs="宋体"/>
                <w:b w:val="0"/>
                <w:bCs/>
                <w:color w:val="auto"/>
                <w:sz w:val="24"/>
                <w:highlight w:val="none"/>
                <w:lang w:val="en-US" w:eastAsia="zh-CN"/>
              </w:rPr>
              <w:t>（1）直线加速器主要技术指标</w:t>
            </w:r>
          </w:p>
          <w:p>
            <w:pPr>
              <w:pStyle w:val="25"/>
              <w:spacing w:line="240" w:lineRule="auto"/>
              <w:jc w:val="center"/>
              <w:rPr>
                <w:rFonts w:hint="eastAsia" w:ascii="宋体" w:hAnsi="宋体" w:eastAsia="宋体" w:cs="宋体"/>
                <w:b/>
                <w:bCs w:val="0"/>
                <w:color w:val="auto"/>
                <w:sz w:val="21"/>
                <w:szCs w:val="21"/>
                <w:highlight w:val="none"/>
                <w:lang w:val="en-US" w:eastAsia="zh-CN"/>
              </w:rPr>
            </w:pPr>
            <w:r>
              <w:rPr>
                <w:rFonts w:hint="eastAsia" w:ascii="宋体" w:hAnsi="宋体" w:eastAsia="宋体" w:cs="宋体"/>
                <w:b/>
                <w:bCs w:val="0"/>
                <w:color w:val="auto"/>
                <w:sz w:val="21"/>
                <w:szCs w:val="21"/>
                <w:highlight w:val="none"/>
                <w:lang w:val="en-US" w:eastAsia="zh-CN"/>
              </w:rPr>
              <w:t>表11-1 本项目直线加速器主要技术指标</w:t>
            </w:r>
          </w:p>
          <w:tbl>
            <w:tblPr>
              <w:tblStyle w:val="19"/>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65"/>
              <w:gridCol w:w="3390"/>
              <w:gridCol w:w="426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611" w:type="pct"/>
                  <w:tcBorders>
                    <w:tl2br w:val="nil"/>
                    <w:tr2bl w:val="nil"/>
                  </w:tcBorders>
                  <w:vAlign w:val="center"/>
                </w:tcPr>
                <w:p>
                  <w:pPr>
                    <w:pStyle w:val="25"/>
                    <w:spacing w:line="240" w:lineRule="auto"/>
                    <w:jc w:val="center"/>
                    <w:rPr>
                      <w:rFonts w:hint="eastAsia" w:ascii="宋体" w:hAnsi="宋体" w:eastAsia="宋体" w:cs="宋体"/>
                      <w:b w:val="0"/>
                      <w:bCs/>
                      <w:color w:val="auto"/>
                      <w:sz w:val="21"/>
                      <w:szCs w:val="21"/>
                      <w:highlight w:val="none"/>
                      <w:vertAlign w:val="baseline"/>
                      <w:lang w:val="en-US" w:eastAsia="zh-CN"/>
                    </w:rPr>
                  </w:pPr>
                  <w:r>
                    <w:rPr>
                      <w:rFonts w:hint="eastAsia" w:ascii="宋体" w:hAnsi="宋体" w:eastAsia="宋体" w:cs="宋体"/>
                      <w:b w:val="0"/>
                      <w:bCs/>
                      <w:color w:val="auto"/>
                      <w:sz w:val="21"/>
                      <w:szCs w:val="21"/>
                      <w:highlight w:val="none"/>
                      <w:vertAlign w:val="baseline"/>
                      <w:lang w:val="en-US" w:eastAsia="zh-CN"/>
                    </w:rPr>
                    <w:t>序号</w:t>
                  </w:r>
                </w:p>
              </w:tc>
              <w:tc>
                <w:tcPr>
                  <w:tcW w:w="1944" w:type="pct"/>
                  <w:tcBorders>
                    <w:tl2br w:val="nil"/>
                    <w:tr2bl w:val="nil"/>
                  </w:tcBorders>
                  <w:vAlign w:val="center"/>
                </w:tcPr>
                <w:p>
                  <w:pPr>
                    <w:pStyle w:val="25"/>
                    <w:spacing w:line="240" w:lineRule="auto"/>
                    <w:jc w:val="center"/>
                    <w:rPr>
                      <w:rFonts w:hint="eastAsia" w:ascii="宋体" w:hAnsi="宋体" w:eastAsia="宋体" w:cs="宋体"/>
                      <w:b w:val="0"/>
                      <w:bCs/>
                      <w:color w:val="auto"/>
                      <w:sz w:val="21"/>
                      <w:szCs w:val="21"/>
                      <w:highlight w:val="none"/>
                      <w:vertAlign w:val="baseline"/>
                      <w:lang w:val="en-US" w:eastAsia="zh-CN"/>
                    </w:rPr>
                  </w:pPr>
                  <w:r>
                    <w:rPr>
                      <w:rFonts w:hint="eastAsia" w:ascii="宋体" w:hAnsi="宋体" w:eastAsia="宋体" w:cs="宋体"/>
                      <w:b w:val="0"/>
                      <w:bCs/>
                      <w:color w:val="auto"/>
                      <w:sz w:val="21"/>
                      <w:szCs w:val="21"/>
                      <w:highlight w:val="none"/>
                      <w:vertAlign w:val="baseline"/>
                      <w:lang w:val="en-US" w:eastAsia="zh-CN"/>
                    </w:rPr>
                    <w:t>项目</w:t>
                  </w:r>
                </w:p>
              </w:tc>
              <w:tc>
                <w:tcPr>
                  <w:tcW w:w="2443" w:type="pct"/>
                  <w:tcBorders>
                    <w:tl2br w:val="nil"/>
                    <w:tr2bl w:val="nil"/>
                  </w:tcBorders>
                  <w:vAlign w:val="center"/>
                </w:tcPr>
                <w:p>
                  <w:pPr>
                    <w:pStyle w:val="25"/>
                    <w:spacing w:line="240" w:lineRule="auto"/>
                    <w:jc w:val="center"/>
                    <w:rPr>
                      <w:rFonts w:hint="eastAsia" w:ascii="宋体" w:hAnsi="宋体" w:eastAsia="宋体" w:cs="宋体"/>
                      <w:b w:val="0"/>
                      <w:bCs/>
                      <w:color w:val="auto"/>
                      <w:sz w:val="21"/>
                      <w:szCs w:val="21"/>
                      <w:highlight w:val="none"/>
                      <w:vertAlign w:val="baseline"/>
                      <w:lang w:val="en-US" w:eastAsia="zh-CN"/>
                    </w:rPr>
                  </w:pPr>
                  <w:r>
                    <w:rPr>
                      <w:rFonts w:hint="eastAsia" w:ascii="宋体" w:hAnsi="宋体" w:eastAsia="宋体" w:cs="宋体"/>
                      <w:b w:val="0"/>
                      <w:bCs/>
                      <w:color w:val="auto"/>
                      <w:sz w:val="21"/>
                      <w:szCs w:val="21"/>
                      <w:highlight w:val="none"/>
                      <w:vertAlign w:val="baseline"/>
                      <w:lang w:val="en-US" w:eastAsia="zh-CN"/>
                    </w:rPr>
                    <w:t>10MV直线加速器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611" w:type="pct"/>
                  <w:tcBorders>
                    <w:tl2br w:val="nil"/>
                    <w:tr2bl w:val="nil"/>
                  </w:tcBorders>
                  <w:vAlign w:val="center"/>
                </w:tcPr>
                <w:p>
                  <w:pPr>
                    <w:pStyle w:val="25"/>
                    <w:spacing w:line="240" w:lineRule="auto"/>
                    <w:jc w:val="center"/>
                    <w:rPr>
                      <w:rFonts w:hint="eastAsia" w:ascii="宋体" w:hAnsi="宋体" w:eastAsia="宋体" w:cs="宋体"/>
                      <w:b w:val="0"/>
                      <w:bCs/>
                      <w:color w:val="auto"/>
                      <w:sz w:val="21"/>
                      <w:szCs w:val="21"/>
                      <w:highlight w:val="none"/>
                      <w:vertAlign w:val="baseline"/>
                      <w:lang w:val="en-US" w:eastAsia="zh-CN"/>
                    </w:rPr>
                  </w:pPr>
                  <w:r>
                    <w:rPr>
                      <w:rFonts w:hint="eastAsia" w:ascii="宋体" w:hAnsi="宋体" w:eastAsia="宋体" w:cs="宋体"/>
                      <w:b w:val="0"/>
                      <w:bCs/>
                      <w:color w:val="auto"/>
                      <w:sz w:val="21"/>
                      <w:szCs w:val="21"/>
                      <w:highlight w:val="none"/>
                      <w:vertAlign w:val="baseline"/>
                      <w:lang w:val="en-US" w:eastAsia="zh-CN"/>
                    </w:rPr>
                    <w:t>1</w:t>
                  </w:r>
                </w:p>
              </w:tc>
              <w:tc>
                <w:tcPr>
                  <w:tcW w:w="1944" w:type="pct"/>
                  <w:tcBorders>
                    <w:tl2br w:val="nil"/>
                    <w:tr2bl w:val="nil"/>
                  </w:tcBorders>
                  <w:vAlign w:val="center"/>
                </w:tcPr>
                <w:p>
                  <w:pPr>
                    <w:pStyle w:val="25"/>
                    <w:spacing w:line="240" w:lineRule="auto"/>
                    <w:jc w:val="center"/>
                    <w:rPr>
                      <w:rFonts w:hint="eastAsia" w:ascii="宋体" w:hAnsi="宋体" w:eastAsia="宋体" w:cs="宋体"/>
                      <w:b w:val="0"/>
                      <w:bCs/>
                      <w:color w:val="auto"/>
                      <w:sz w:val="21"/>
                      <w:szCs w:val="21"/>
                      <w:highlight w:val="none"/>
                      <w:vertAlign w:val="baseline"/>
                      <w:lang w:val="en-US" w:eastAsia="zh-CN"/>
                    </w:rPr>
                  </w:pPr>
                  <w:r>
                    <w:rPr>
                      <w:rFonts w:hint="eastAsia" w:ascii="宋体" w:hAnsi="宋体" w:eastAsia="宋体" w:cs="宋体"/>
                      <w:b w:val="0"/>
                      <w:bCs/>
                      <w:color w:val="auto"/>
                      <w:sz w:val="21"/>
                      <w:szCs w:val="21"/>
                      <w:highlight w:val="none"/>
                      <w:vertAlign w:val="baseline"/>
                      <w:lang w:val="en-US" w:eastAsia="zh-CN"/>
                    </w:rPr>
                    <w:t>X线能量</w:t>
                  </w:r>
                </w:p>
              </w:tc>
              <w:tc>
                <w:tcPr>
                  <w:tcW w:w="2443" w:type="pct"/>
                  <w:tcBorders>
                    <w:tl2br w:val="nil"/>
                    <w:tr2bl w:val="nil"/>
                  </w:tcBorders>
                  <w:vAlign w:val="center"/>
                </w:tcPr>
                <w:p>
                  <w:pPr>
                    <w:pStyle w:val="25"/>
                    <w:spacing w:line="240" w:lineRule="auto"/>
                    <w:jc w:val="center"/>
                    <w:rPr>
                      <w:rFonts w:hint="eastAsia" w:ascii="宋体" w:hAnsi="宋体" w:eastAsia="宋体" w:cs="宋体"/>
                      <w:b w:val="0"/>
                      <w:bCs/>
                      <w:color w:val="auto"/>
                      <w:sz w:val="21"/>
                      <w:szCs w:val="21"/>
                      <w:highlight w:val="none"/>
                      <w:vertAlign w:val="baseline"/>
                      <w:lang w:val="en-US" w:eastAsia="zh-CN"/>
                    </w:rPr>
                  </w:pPr>
                  <w:r>
                    <w:rPr>
                      <w:rFonts w:hint="eastAsia" w:ascii="宋体" w:hAnsi="宋体" w:eastAsia="宋体" w:cs="宋体"/>
                      <w:b w:val="0"/>
                      <w:bCs/>
                      <w:color w:val="auto"/>
                      <w:sz w:val="21"/>
                      <w:szCs w:val="21"/>
                      <w:highlight w:val="none"/>
                      <w:vertAlign w:val="baseline"/>
                      <w:lang w:val="en-US" w:eastAsia="zh-CN"/>
                    </w:rPr>
                    <w:t>10MV</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611" w:type="pct"/>
                  <w:tcBorders>
                    <w:tl2br w:val="nil"/>
                    <w:tr2bl w:val="nil"/>
                  </w:tcBorders>
                  <w:vAlign w:val="center"/>
                </w:tcPr>
                <w:p>
                  <w:pPr>
                    <w:pStyle w:val="25"/>
                    <w:spacing w:line="240" w:lineRule="auto"/>
                    <w:jc w:val="center"/>
                    <w:rPr>
                      <w:rFonts w:hint="eastAsia" w:ascii="宋体" w:hAnsi="宋体" w:eastAsia="宋体" w:cs="宋体"/>
                      <w:b w:val="0"/>
                      <w:bCs/>
                      <w:color w:val="auto"/>
                      <w:sz w:val="21"/>
                      <w:szCs w:val="21"/>
                      <w:highlight w:val="none"/>
                      <w:vertAlign w:val="baseline"/>
                      <w:lang w:val="en-US" w:eastAsia="zh-CN"/>
                    </w:rPr>
                  </w:pPr>
                  <w:r>
                    <w:rPr>
                      <w:rFonts w:hint="eastAsia" w:ascii="宋体" w:hAnsi="宋体" w:eastAsia="宋体" w:cs="宋体"/>
                      <w:b w:val="0"/>
                      <w:bCs/>
                      <w:color w:val="auto"/>
                      <w:sz w:val="21"/>
                      <w:szCs w:val="21"/>
                      <w:highlight w:val="none"/>
                      <w:vertAlign w:val="baseline"/>
                      <w:lang w:val="en-US" w:eastAsia="zh-CN"/>
                    </w:rPr>
                    <w:t>2</w:t>
                  </w:r>
                </w:p>
              </w:tc>
              <w:tc>
                <w:tcPr>
                  <w:tcW w:w="1944" w:type="pct"/>
                  <w:tcBorders>
                    <w:tl2br w:val="nil"/>
                    <w:tr2bl w:val="nil"/>
                  </w:tcBorders>
                  <w:vAlign w:val="center"/>
                </w:tcPr>
                <w:p>
                  <w:pPr>
                    <w:pStyle w:val="25"/>
                    <w:spacing w:line="240" w:lineRule="auto"/>
                    <w:jc w:val="center"/>
                    <w:rPr>
                      <w:rFonts w:hint="eastAsia" w:ascii="宋体" w:hAnsi="宋体" w:eastAsia="宋体" w:cs="宋体"/>
                      <w:b w:val="0"/>
                      <w:bCs/>
                      <w:color w:val="auto"/>
                      <w:sz w:val="21"/>
                      <w:szCs w:val="21"/>
                      <w:highlight w:val="none"/>
                      <w:vertAlign w:val="baseline"/>
                      <w:lang w:val="en-US" w:eastAsia="zh-CN"/>
                    </w:rPr>
                  </w:pPr>
                  <w:r>
                    <w:rPr>
                      <w:rFonts w:hint="eastAsia" w:ascii="宋体" w:hAnsi="宋体" w:eastAsia="宋体" w:cs="宋体"/>
                      <w:b w:val="0"/>
                      <w:bCs/>
                      <w:color w:val="auto"/>
                      <w:sz w:val="21"/>
                      <w:szCs w:val="21"/>
                      <w:highlight w:val="none"/>
                      <w:vertAlign w:val="baseline"/>
                      <w:lang w:val="en-US" w:eastAsia="zh-CN"/>
                    </w:rPr>
                    <w:t>最大剂量率</w:t>
                  </w:r>
                </w:p>
              </w:tc>
              <w:tc>
                <w:tcPr>
                  <w:tcW w:w="2443" w:type="pct"/>
                  <w:tcBorders>
                    <w:tl2br w:val="nil"/>
                    <w:tr2bl w:val="nil"/>
                  </w:tcBorders>
                  <w:vAlign w:val="center"/>
                </w:tcPr>
                <w:p>
                  <w:pPr>
                    <w:pStyle w:val="25"/>
                    <w:spacing w:line="240" w:lineRule="auto"/>
                    <w:jc w:val="center"/>
                    <w:rPr>
                      <w:rFonts w:hint="eastAsia" w:ascii="宋体" w:hAnsi="宋体" w:eastAsia="宋体" w:cs="宋体"/>
                      <w:b w:val="0"/>
                      <w:bCs/>
                      <w:color w:val="auto"/>
                      <w:sz w:val="21"/>
                      <w:szCs w:val="21"/>
                      <w:highlight w:val="none"/>
                      <w:vertAlign w:val="baseline"/>
                      <w:lang w:val="en-US" w:eastAsia="zh-CN"/>
                    </w:rPr>
                  </w:pPr>
                  <w:r>
                    <w:rPr>
                      <w:rFonts w:hint="eastAsia" w:ascii="宋体" w:hAnsi="宋体" w:eastAsia="宋体" w:cs="宋体"/>
                      <w:b w:val="0"/>
                      <w:bCs/>
                      <w:color w:val="auto"/>
                      <w:sz w:val="21"/>
                      <w:szCs w:val="21"/>
                      <w:highlight w:val="none"/>
                      <w:vertAlign w:val="baseline"/>
                      <w:lang w:val="en-US" w:eastAsia="zh-CN"/>
                    </w:rPr>
                    <w:t>600cGy/min</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611" w:type="pct"/>
                  <w:tcBorders>
                    <w:tl2br w:val="nil"/>
                    <w:tr2bl w:val="nil"/>
                  </w:tcBorders>
                  <w:vAlign w:val="center"/>
                </w:tcPr>
                <w:p>
                  <w:pPr>
                    <w:pStyle w:val="25"/>
                    <w:spacing w:line="240" w:lineRule="auto"/>
                    <w:jc w:val="center"/>
                    <w:rPr>
                      <w:rFonts w:hint="eastAsia" w:ascii="宋体" w:hAnsi="宋体" w:eastAsia="宋体" w:cs="宋体"/>
                      <w:b w:val="0"/>
                      <w:bCs/>
                      <w:color w:val="auto"/>
                      <w:sz w:val="21"/>
                      <w:szCs w:val="21"/>
                      <w:highlight w:val="none"/>
                      <w:vertAlign w:val="baseline"/>
                      <w:lang w:val="en-US" w:eastAsia="zh-CN"/>
                    </w:rPr>
                  </w:pPr>
                  <w:r>
                    <w:rPr>
                      <w:rFonts w:hint="eastAsia" w:ascii="宋体" w:hAnsi="宋体" w:eastAsia="宋体" w:cs="宋体"/>
                      <w:b w:val="0"/>
                      <w:bCs/>
                      <w:color w:val="auto"/>
                      <w:sz w:val="21"/>
                      <w:szCs w:val="21"/>
                      <w:highlight w:val="none"/>
                      <w:vertAlign w:val="baseline"/>
                      <w:lang w:val="en-US" w:eastAsia="zh-CN"/>
                    </w:rPr>
                    <w:t>3</w:t>
                  </w:r>
                </w:p>
              </w:tc>
              <w:tc>
                <w:tcPr>
                  <w:tcW w:w="1944" w:type="pct"/>
                  <w:tcBorders>
                    <w:tl2br w:val="nil"/>
                    <w:tr2bl w:val="nil"/>
                  </w:tcBorders>
                  <w:vAlign w:val="center"/>
                </w:tcPr>
                <w:p>
                  <w:pPr>
                    <w:pStyle w:val="25"/>
                    <w:spacing w:line="240" w:lineRule="auto"/>
                    <w:jc w:val="center"/>
                    <w:rPr>
                      <w:rFonts w:hint="eastAsia" w:ascii="宋体" w:hAnsi="宋体" w:eastAsia="宋体" w:cs="宋体"/>
                      <w:b w:val="0"/>
                      <w:bCs/>
                      <w:color w:val="auto"/>
                      <w:sz w:val="21"/>
                      <w:szCs w:val="21"/>
                      <w:highlight w:val="none"/>
                      <w:vertAlign w:val="baseline"/>
                      <w:lang w:val="en-US" w:eastAsia="zh-CN"/>
                    </w:rPr>
                  </w:pPr>
                  <w:r>
                    <w:rPr>
                      <w:rFonts w:hint="eastAsia" w:ascii="宋体" w:hAnsi="宋体" w:eastAsia="宋体" w:cs="宋体"/>
                      <w:b w:val="0"/>
                      <w:bCs/>
                      <w:color w:val="auto"/>
                      <w:sz w:val="21"/>
                      <w:szCs w:val="21"/>
                      <w:highlight w:val="none"/>
                      <w:vertAlign w:val="baseline"/>
                      <w:lang w:val="en-US" w:eastAsia="zh-CN"/>
                    </w:rPr>
                    <w:t>等中心处最大照射野</w:t>
                  </w:r>
                </w:p>
              </w:tc>
              <w:tc>
                <w:tcPr>
                  <w:tcW w:w="2443" w:type="pct"/>
                  <w:tcBorders>
                    <w:tl2br w:val="nil"/>
                    <w:tr2bl w:val="nil"/>
                  </w:tcBorders>
                  <w:vAlign w:val="center"/>
                </w:tcPr>
                <w:p>
                  <w:pPr>
                    <w:pStyle w:val="25"/>
                    <w:spacing w:line="240" w:lineRule="auto"/>
                    <w:jc w:val="center"/>
                    <w:rPr>
                      <w:rFonts w:hint="eastAsia" w:ascii="宋体" w:hAnsi="宋体" w:eastAsia="宋体" w:cs="宋体"/>
                      <w:b w:val="0"/>
                      <w:bCs/>
                      <w:color w:val="auto"/>
                      <w:sz w:val="21"/>
                      <w:szCs w:val="21"/>
                      <w:highlight w:val="none"/>
                      <w:vertAlign w:val="baseline"/>
                      <w:lang w:val="en-US" w:eastAsia="zh-CN"/>
                    </w:rPr>
                  </w:pPr>
                  <w:r>
                    <w:rPr>
                      <w:rFonts w:hint="eastAsia" w:ascii="宋体" w:hAnsi="宋体" w:eastAsia="宋体" w:cs="宋体"/>
                      <w:b w:val="0"/>
                      <w:bCs/>
                      <w:color w:val="auto"/>
                      <w:sz w:val="21"/>
                      <w:szCs w:val="21"/>
                      <w:highlight w:val="none"/>
                      <w:vertAlign w:val="baseline"/>
                      <w:lang w:val="en-US" w:eastAsia="zh-CN"/>
                    </w:rPr>
                    <w:t>40cm×40cm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611" w:type="pct"/>
                  <w:tcBorders>
                    <w:tl2br w:val="nil"/>
                    <w:tr2bl w:val="nil"/>
                  </w:tcBorders>
                  <w:vAlign w:val="center"/>
                </w:tcPr>
                <w:p>
                  <w:pPr>
                    <w:pStyle w:val="25"/>
                    <w:spacing w:line="240" w:lineRule="auto"/>
                    <w:jc w:val="center"/>
                    <w:rPr>
                      <w:rFonts w:hint="eastAsia" w:ascii="宋体" w:hAnsi="宋体" w:eastAsia="宋体" w:cs="宋体"/>
                      <w:b w:val="0"/>
                      <w:bCs/>
                      <w:color w:val="auto"/>
                      <w:sz w:val="21"/>
                      <w:szCs w:val="21"/>
                      <w:highlight w:val="none"/>
                      <w:vertAlign w:val="baseline"/>
                      <w:lang w:val="en-US" w:eastAsia="zh-CN"/>
                    </w:rPr>
                  </w:pPr>
                  <w:r>
                    <w:rPr>
                      <w:rFonts w:hint="eastAsia" w:ascii="宋体" w:hAnsi="宋体" w:eastAsia="宋体" w:cs="宋体"/>
                      <w:b w:val="0"/>
                      <w:bCs/>
                      <w:color w:val="auto"/>
                      <w:sz w:val="21"/>
                      <w:szCs w:val="21"/>
                      <w:highlight w:val="none"/>
                      <w:vertAlign w:val="baseline"/>
                      <w:lang w:val="en-US" w:eastAsia="zh-CN"/>
                    </w:rPr>
                    <w:t>4</w:t>
                  </w:r>
                </w:p>
              </w:tc>
              <w:tc>
                <w:tcPr>
                  <w:tcW w:w="1944" w:type="pct"/>
                  <w:tcBorders>
                    <w:tl2br w:val="nil"/>
                    <w:tr2bl w:val="nil"/>
                  </w:tcBorders>
                  <w:vAlign w:val="center"/>
                </w:tcPr>
                <w:p>
                  <w:pPr>
                    <w:pStyle w:val="25"/>
                    <w:spacing w:line="240" w:lineRule="auto"/>
                    <w:jc w:val="center"/>
                    <w:rPr>
                      <w:rFonts w:hint="eastAsia" w:ascii="宋体" w:hAnsi="宋体" w:eastAsia="宋体" w:cs="宋体"/>
                      <w:b w:val="0"/>
                      <w:bCs/>
                      <w:color w:val="auto"/>
                      <w:sz w:val="21"/>
                      <w:szCs w:val="21"/>
                      <w:highlight w:val="none"/>
                      <w:vertAlign w:val="baseline"/>
                      <w:lang w:val="en-US" w:eastAsia="zh-CN"/>
                    </w:rPr>
                  </w:pPr>
                  <w:r>
                    <w:rPr>
                      <w:rFonts w:hint="eastAsia" w:ascii="宋体" w:hAnsi="宋体" w:eastAsia="宋体" w:cs="宋体"/>
                      <w:b w:val="0"/>
                      <w:bCs/>
                      <w:color w:val="auto"/>
                      <w:sz w:val="21"/>
                      <w:szCs w:val="21"/>
                      <w:highlight w:val="none"/>
                      <w:vertAlign w:val="baseline"/>
                      <w:lang w:val="en-US" w:eastAsia="zh-CN"/>
                    </w:rPr>
                    <w:t>有用线束最大张角</w:t>
                  </w:r>
                </w:p>
              </w:tc>
              <w:tc>
                <w:tcPr>
                  <w:tcW w:w="2443" w:type="pct"/>
                  <w:tcBorders>
                    <w:tl2br w:val="nil"/>
                    <w:tr2bl w:val="nil"/>
                  </w:tcBorders>
                  <w:vAlign w:val="center"/>
                </w:tcPr>
                <w:p>
                  <w:pPr>
                    <w:pStyle w:val="25"/>
                    <w:spacing w:line="240" w:lineRule="auto"/>
                    <w:jc w:val="center"/>
                    <w:rPr>
                      <w:rFonts w:hint="eastAsia" w:ascii="宋体" w:hAnsi="宋体" w:eastAsia="宋体" w:cs="宋体"/>
                      <w:b w:val="0"/>
                      <w:bCs/>
                      <w:color w:val="auto"/>
                      <w:sz w:val="21"/>
                      <w:szCs w:val="21"/>
                      <w:highlight w:val="none"/>
                      <w:vertAlign w:val="baseline"/>
                      <w:lang w:val="en-US" w:eastAsia="zh-CN"/>
                    </w:rPr>
                  </w:pPr>
                  <w:r>
                    <w:rPr>
                      <w:rFonts w:hint="eastAsia" w:ascii="宋体" w:hAnsi="宋体" w:eastAsia="宋体" w:cs="宋体"/>
                      <w:b w:val="0"/>
                      <w:bCs/>
                      <w:color w:val="auto"/>
                      <w:sz w:val="21"/>
                      <w:szCs w:val="21"/>
                      <w:highlight w:val="none"/>
                      <w:vertAlign w:val="baseline"/>
                      <w:lang w:val="en-US" w:eastAsia="zh-CN"/>
                    </w:rPr>
                    <w:t>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611" w:type="pct"/>
                  <w:tcBorders>
                    <w:tl2br w:val="nil"/>
                    <w:tr2bl w:val="nil"/>
                  </w:tcBorders>
                  <w:vAlign w:val="center"/>
                </w:tcPr>
                <w:p>
                  <w:pPr>
                    <w:pStyle w:val="25"/>
                    <w:spacing w:line="240" w:lineRule="auto"/>
                    <w:jc w:val="center"/>
                    <w:rPr>
                      <w:rFonts w:hint="eastAsia" w:ascii="宋体" w:hAnsi="宋体" w:eastAsia="宋体" w:cs="宋体"/>
                      <w:b w:val="0"/>
                      <w:bCs/>
                      <w:color w:val="auto"/>
                      <w:sz w:val="21"/>
                      <w:szCs w:val="21"/>
                      <w:highlight w:val="none"/>
                      <w:vertAlign w:val="baseline"/>
                      <w:lang w:val="en-US" w:eastAsia="zh-CN"/>
                    </w:rPr>
                  </w:pPr>
                  <w:r>
                    <w:rPr>
                      <w:rFonts w:hint="eastAsia" w:ascii="宋体" w:hAnsi="宋体" w:eastAsia="宋体" w:cs="宋体"/>
                      <w:b w:val="0"/>
                      <w:bCs/>
                      <w:color w:val="auto"/>
                      <w:sz w:val="21"/>
                      <w:szCs w:val="21"/>
                      <w:highlight w:val="none"/>
                      <w:vertAlign w:val="baseline"/>
                      <w:lang w:val="en-US" w:eastAsia="zh-CN"/>
                    </w:rPr>
                    <w:t>5</w:t>
                  </w:r>
                </w:p>
              </w:tc>
              <w:tc>
                <w:tcPr>
                  <w:tcW w:w="1944" w:type="pct"/>
                  <w:tcBorders>
                    <w:tl2br w:val="nil"/>
                    <w:tr2bl w:val="nil"/>
                  </w:tcBorders>
                  <w:vAlign w:val="center"/>
                </w:tcPr>
                <w:p>
                  <w:pPr>
                    <w:pStyle w:val="25"/>
                    <w:spacing w:line="240" w:lineRule="auto"/>
                    <w:jc w:val="center"/>
                    <w:rPr>
                      <w:rFonts w:hint="eastAsia" w:ascii="宋体" w:hAnsi="宋体" w:eastAsia="宋体" w:cs="宋体"/>
                      <w:b w:val="0"/>
                      <w:bCs/>
                      <w:color w:val="auto"/>
                      <w:sz w:val="21"/>
                      <w:szCs w:val="21"/>
                      <w:highlight w:val="none"/>
                      <w:vertAlign w:val="baseline"/>
                      <w:lang w:val="en-US" w:eastAsia="zh-CN"/>
                    </w:rPr>
                  </w:pPr>
                  <w:r>
                    <w:rPr>
                      <w:rFonts w:hint="eastAsia" w:ascii="宋体" w:hAnsi="宋体" w:eastAsia="宋体" w:cs="宋体"/>
                      <w:b w:val="0"/>
                      <w:bCs/>
                      <w:color w:val="auto"/>
                      <w:sz w:val="21"/>
                      <w:szCs w:val="21"/>
                      <w:highlight w:val="none"/>
                      <w:vertAlign w:val="baseline"/>
                      <w:lang w:val="en-US" w:eastAsia="zh-CN"/>
                    </w:rPr>
                    <w:t>X射线泄露辐射因子</w:t>
                  </w:r>
                </w:p>
              </w:tc>
              <w:tc>
                <w:tcPr>
                  <w:tcW w:w="2443" w:type="pct"/>
                  <w:tcBorders>
                    <w:tl2br w:val="nil"/>
                    <w:tr2bl w:val="nil"/>
                  </w:tcBorders>
                  <w:vAlign w:val="center"/>
                </w:tcPr>
                <w:p>
                  <w:pPr>
                    <w:pStyle w:val="25"/>
                    <w:spacing w:line="240" w:lineRule="auto"/>
                    <w:jc w:val="center"/>
                    <w:rPr>
                      <w:rFonts w:hint="eastAsia" w:ascii="宋体" w:hAnsi="宋体" w:eastAsia="宋体" w:cs="宋体"/>
                      <w:b w:val="0"/>
                      <w:bCs/>
                      <w:color w:val="auto"/>
                      <w:sz w:val="21"/>
                      <w:szCs w:val="21"/>
                      <w:highlight w:val="none"/>
                      <w:vertAlign w:val="baseline"/>
                      <w:lang w:val="en-US" w:eastAsia="zh-CN"/>
                    </w:rPr>
                  </w:pPr>
                  <w:r>
                    <w:rPr>
                      <w:rFonts w:hint="eastAsia" w:ascii="宋体" w:hAnsi="宋体" w:eastAsia="宋体" w:cs="宋体"/>
                      <w:b w:val="0"/>
                      <w:bCs/>
                      <w:color w:val="auto"/>
                      <w:sz w:val="21"/>
                      <w:szCs w:val="21"/>
                      <w:highlight w:val="none"/>
                      <w:vertAlign w:val="baseline"/>
                      <w:lang w:val="en-US" w:eastAsia="zh-CN"/>
                    </w:rPr>
                    <w:t>≤0.1%</w:t>
                  </w:r>
                </w:p>
              </w:tc>
            </w:tr>
          </w:tbl>
          <w:p>
            <w:pPr>
              <w:pStyle w:val="25"/>
              <w:spacing w:line="360" w:lineRule="auto"/>
              <w:ind w:firstLine="480" w:firstLineChars="200"/>
              <w:rPr>
                <w:rFonts w:hint="eastAsia" w:ascii="宋体" w:hAnsi="宋体" w:eastAsia="宋体" w:cs="宋体"/>
                <w:b w:val="0"/>
                <w:bCs/>
                <w:color w:val="auto"/>
                <w:sz w:val="24"/>
                <w:highlight w:val="none"/>
                <w:lang w:val="en-US" w:eastAsia="zh-CN"/>
              </w:rPr>
            </w:pPr>
            <w:r>
              <w:rPr>
                <w:rFonts w:hint="eastAsia" w:ascii="宋体" w:hAnsi="宋体" w:eastAsia="宋体" w:cs="宋体"/>
                <w:b w:val="0"/>
                <w:bCs/>
                <w:color w:val="auto"/>
                <w:sz w:val="24"/>
                <w:highlight w:val="none"/>
                <w:lang w:val="en-US" w:eastAsia="zh-CN"/>
              </w:rPr>
              <w:t>（2）预测直线加速器运行工况</w:t>
            </w:r>
          </w:p>
          <w:p>
            <w:pPr>
              <w:pStyle w:val="25"/>
              <w:spacing w:line="360" w:lineRule="auto"/>
              <w:ind w:firstLine="480" w:firstLineChars="200"/>
              <w:rPr>
                <w:rFonts w:hint="eastAsia" w:ascii="宋体" w:hAnsi="宋体" w:eastAsia="宋体" w:cs="宋体"/>
                <w:b w:val="0"/>
                <w:bCs/>
                <w:color w:val="0000FF"/>
                <w:sz w:val="24"/>
                <w:highlight w:val="none"/>
                <w:lang w:val="en-US" w:eastAsia="zh-CN"/>
              </w:rPr>
            </w:pPr>
            <w:r>
              <w:rPr>
                <w:rFonts w:hint="eastAsia" w:ascii="宋体" w:hAnsi="宋体" w:eastAsia="宋体" w:cs="宋体"/>
                <w:color w:val="auto"/>
                <w:sz w:val="24"/>
                <w:szCs w:val="24"/>
                <w:highlight w:val="none"/>
              </w:rPr>
              <w:t>加速器预期放射治疗工作量：</w:t>
            </w:r>
            <w:r>
              <w:rPr>
                <w:rFonts w:hint="eastAsia" w:ascii="宋体" w:hAnsi="宋体" w:eastAsia="宋体" w:cs="宋体"/>
                <w:color w:val="auto"/>
                <w:sz w:val="24"/>
                <w:szCs w:val="24"/>
                <w:highlight w:val="none"/>
                <w:lang w:val="en-US" w:eastAsia="zh-CN"/>
              </w:rPr>
              <w:t>预期本项目</w:t>
            </w:r>
            <w:r>
              <w:rPr>
                <w:rFonts w:hint="eastAsia" w:ascii="宋体" w:hAnsi="宋体" w:eastAsia="宋体" w:cs="宋体"/>
                <w:color w:val="auto"/>
                <w:sz w:val="24"/>
                <w:szCs w:val="24"/>
                <w:highlight w:val="none"/>
              </w:rPr>
              <w:t>加速器每</w:t>
            </w:r>
            <w:r>
              <w:rPr>
                <w:rFonts w:hint="eastAsia" w:ascii="宋体" w:hAnsi="宋体" w:eastAsia="宋体" w:cs="宋体"/>
                <w:color w:val="auto"/>
                <w:sz w:val="24"/>
                <w:szCs w:val="24"/>
                <w:highlight w:val="none"/>
                <w:lang w:val="en-US" w:eastAsia="zh-CN"/>
              </w:rPr>
              <w:t>周</w:t>
            </w:r>
            <w:r>
              <w:rPr>
                <w:rFonts w:hint="eastAsia" w:ascii="宋体" w:hAnsi="宋体" w:eastAsia="宋体" w:cs="宋体"/>
                <w:color w:val="auto"/>
                <w:sz w:val="24"/>
                <w:szCs w:val="24"/>
                <w:highlight w:val="none"/>
              </w:rPr>
              <w:t>治疗</w:t>
            </w:r>
            <w:r>
              <w:rPr>
                <w:rFonts w:hint="eastAsia" w:ascii="宋体" w:hAnsi="宋体" w:eastAsia="宋体" w:cs="宋体"/>
                <w:color w:val="auto"/>
                <w:sz w:val="24"/>
                <w:szCs w:val="24"/>
                <w:highlight w:val="none"/>
                <w:lang w:val="en-US" w:eastAsia="zh-CN"/>
              </w:rPr>
              <w:t>时间不超过20小时，全年工作52周</w:t>
            </w:r>
            <w:r>
              <w:rPr>
                <w:rFonts w:hint="eastAsia" w:ascii="宋体" w:hAnsi="宋体" w:eastAsia="宋体" w:cs="宋体"/>
                <w:color w:val="auto"/>
                <w:sz w:val="24"/>
                <w:szCs w:val="24"/>
                <w:highlight w:val="none"/>
              </w:rPr>
              <w:t>，在</w:t>
            </w:r>
            <w:r>
              <w:rPr>
                <w:rFonts w:hint="eastAsia" w:ascii="宋体" w:hAnsi="宋体" w:eastAsia="宋体" w:cs="宋体"/>
                <w:color w:val="auto"/>
                <w:sz w:val="24"/>
                <w:szCs w:val="24"/>
                <w:highlight w:val="none"/>
                <w:lang w:val="en-US" w:eastAsia="zh-CN"/>
              </w:rPr>
              <w:t>最大剂量率的</w:t>
            </w:r>
            <w:r>
              <w:rPr>
                <w:rFonts w:hint="eastAsia" w:ascii="宋体" w:hAnsi="宋体" w:eastAsia="宋体" w:cs="宋体"/>
                <w:color w:val="auto"/>
                <w:sz w:val="24"/>
                <w:szCs w:val="24"/>
                <w:highlight w:val="none"/>
              </w:rPr>
              <w:t>照射条件下</w:t>
            </w:r>
            <w:r>
              <w:rPr>
                <w:rFonts w:hint="eastAsia" w:ascii="宋体" w:hAnsi="宋体" w:eastAsia="宋体" w:cs="宋体"/>
                <w:color w:val="auto"/>
                <w:sz w:val="24"/>
                <w:szCs w:val="24"/>
                <w:highlight w:val="none"/>
                <w:lang w:val="en-US" w:eastAsia="zh-CN"/>
              </w:rPr>
              <w:t>加速器全年照射时间为1040小时</w:t>
            </w:r>
            <w:r>
              <w:rPr>
                <w:rFonts w:hint="eastAsia" w:ascii="宋体" w:hAnsi="宋体" w:eastAsia="宋体" w:cs="宋体"/>
                <w:color w:val="auto"/>
                <w:sz w:val="24"/>
                <w:szCs w:val="24"/>
                <w:highlight w:val="none"/>
                <w:lang w:eastAsia="zh-CN"/>
              </w:rPr>
              <w:t>。</w:t>
            </w:r>
          </w:p>
          <w:p>
            <w:pPr>
              <w:spacing w:line="360" w:lineRule="auto"/>
              <w:ind w:firstLine="480" w:firstLineChars="200"/>
              <w:rPr>
                <w:rFonts w:hint="eastAsia" w:ascii="宋体" w:hAnsi="宋体" w:eastAsia="宋体" w:cs="宋体"/>
                <w:b w:val="0"/>
                <w:bCs/>
                <w:color w:val="auto"/>
                <w:sz w:val="24"/>
                <w:highlight w:val="none"/>
              </w:rPr>
            </w:pPr>
            <w:r>
              <w:rPr>
                <w:rFonts w:hint="eastAsia" w:ascii="宋体" w:hAnsi="宋体" w:eastAsia="宋体" w:cs="宋体"/>
                <w:b w:val="0"/>
                <w:bCs/>
                <w:color w:val="auto"/>
                <w:sz w:val="24"/>
                <w:highlight w:val="none"/>
                <w:lang w:val="en-US" w:eastAsia="zh-CN"/>
              </w:rPr>
              <w:t>（3）</w:t>
            </w:r>
            <w:r>
              <w:rPr>
                <w:rFonts w:hint="eastAsia" w:ascii="宋体" w:hAnsi="宋体" w:eastAsia="宋体" w:cs="宋体"/>
                <w:b w:val="0"/>
                <w:bCs/>
                <w:color w:val="auto"/>
                <w:sz w:val="24"/>
                <w:highlight w:val="none"/>
              </w:rPr>
              <w:t>辐射屏蔽的剂量参考控制水平</w:t>
            </w:r>
          </w:p>
          <w:p>
            <w:pPr>
              <w:pStyle w:val="25"/>
              <w:spacing w:line="360" w:lineRule="auto"/>
              <w:ind w:firstLine="544" w:firstLineChars="200"/>
              <w:rPr>
                <w:rFonts w:hint="eastAsia" w:ascii="宋体" w:hAnsi="宋体" w:eastAsia="宋体" w:cs="宋体"/>
                <w:b/>
                <w:bCs/>
                <w:color w:val="auto"/>
                <w:kern w:val="0"/>
                <w:sz w:val="24"/>
                <w:highlight w:val="none"/>
              </w:rPr>
            </w:pPr>
            <w:r>
              <w:rPr>
                <w:rFonts w:hint="eastAsia" w:ascii="宋体" w:hAnsi="宋体" w:eastAsia="宋体" w:cs="宋体"/>
                <w:color w:val="auto"/>
                <w:spacing w:val="16"/>
                <w:highlight w:val="none"/>
              </w:rPr>
              <w:t>根据建设单位提供资料，</w:t>
            </w:r>
            <w:r>
              <w:rPr>
                <w:rFonts w:hint="eastAsia" w:ascii="宋体" w:hAnsi="宋体" w:eastAsia="宋体" w:cs="宋体"/>
                <w:color w:val="auto"/>
                <w:spacing w:val="16"/>
                <w:highlight w:val="none"/>
                <w:lang w:val="en-US" w:eastAsia="zh-CN"/>
              </w:rPr>
              <w:t>本项目直线加速器出束</w:t>
            </w:r>
            <w:r>
              <w:rPr>
                <w:rFonts w:hint="eastAsia" w:ascii="宋体" w:hAnsi="宋体" w:eastAsia="宋体" w:cs="宋体"/>
                <w:color w:val="auto"/>
                <w:highlight w:val="none"/>
              </w:rPr>
              <w:t>时间</w:t>
            </w:r>
            <w:r>
              <w:rPr>
                <w:rFonts w:hint="eastAsia" w:ascii="宋体" w:hAnsi="宋体" w:eastAsia="宋体" w:cs="宋体"/>
                <w:color w:val="auto"/>
                <w:highlight w:val="none"/>
                <w:lang w:val="en-US" w:eastAsia="zh-CN"/>
              </w:rPr>
              <w:t>每周</w:t>
            </w:r>
            <w:r>
              <w:rPr>
                <w:rFonts w:hint="eastAsia" w:ascii="宋体" w:hAnsi="宋体" w:eastAsia="宋体" w:cs="宋体"/>
                <w:color w:val="auto"/>
                <w:highlight w:val="none"/>
              </w:rPr>
              <w:t>最多</w:t>
            </w:r>
            <w:r>
              <w:rPr>
                <w:rFonts w:hint="eastAsia" w:ascii="宋体" w:hAnsi="宋体" w:eastAsia="宋体" w:cs="宋体"/>
                <w:color w:val="auto"/>
                <w:highlight w:val="none"/>
                <w:lang w:val="en-US" w:eastAsia="zh-CN"/>
              </w:rPr>
              <w:t>不超过20</w:t>
            </w:r>
            <w:r>
              <w:rPr>
                <w:rFonts w:hint="eastAsia" w:ascii="宋体" w:hAnsi="宋体" w:eastAsia="宋体" w:cs="宋体"/>
                <w:color w:val="auto"/>
                <w:highlight w:val="none"/>
              </w:rPr>
              <w:t>小时。</w:t>
            </w:r>
            <w:r>
              <w:rPr>
                <w:rFonts w:hint="eastAsia" w:ascii="宋体" w:hAnsi="宋体" w:eastAsia="宋体" w:cs="宋体"/>
                <w:color w:val="auto"/>
                <w:highlight w:val="none"/>
                <w:lang w:val="en-US" w:eastAsia="zh-CN"/>
              </w:rPr>
              <w:t>机房外辐射工作人员</w:t>
            </w:r>
            <w:r>
              <w:rPr>
                <w:rFonts w:hint="eastAsia" w:ascii="宋体" w:hAnsi="宋体" w:eastAsia="宋体" w:cs="宋体"/>
                <w:color w:val="auto"/>
                <w:highlight w:val="none"/>
              </w:rPr>
              <w:t>周剂量参考控制水平取</w:t>
            </w:r>
            <w:r>
              <w:rPr>
                <w:rFonts w:hint="eastAsia" w:ascii="宋体" w:hAnsi="宋体" w:eastAsia="宋体" w:cs="宋体"/>
                <w:color w:val="auto"/>
                <w:highlight w:val="none"/>
                <w:lang w:val="en-US" w:eastAsia="zh-CN"/>
              </w:rPr>
              <w:t>100</w:t>
            </w:r>
            <w:r>
              <w:rPr>
                <w:rFonts w:hint="eastAsia" w:ascii="宋体" w:hAnsi="宋体" w:eastAsia="宋体" w:cs="宋体"/>
                <w:color w:val="auto"/>
                <w:highlight w:val="none"/>
              </w:rPr>
              <w:t>μSv/周，</w:t>
            </w:r>
            <w:r>
              <w:rPr>
                <w:rFonts w:hint="eastAsia" w:ascii="宋体" w:hAnsi="宋体" w:eastAsia="宋体" w:cs="宋体"/>
                <w:color w:val="auto"/>
                <w:highlight w:val="none"/>
                <w:lang w:val="en-US" w:eastAsia="zh-CN"/>
              </w:rPr>
              <w:t>公众人员</w:t>
            </w:r>
            <w:r>
              <w:rPr>
                <w:rFonts w:hint="eastAsia" w:ascii="宋体" w:hAnsi="宋体" w:eastAsia="宋体" w:cs="宋体"/>
                <w:color w:val="auto"/>
                <w:highlight w:val="none"/>
              </w:rPr>
              <w:t>周剂量参考控制水平取5μSv/周。</w:t>
            </w:r>
            <w:r>
              <w:rPr>
                <w:rFonts w:hint="eastAsia" w:ascii="宋体" w:hAnsi="宋体" w:eastAsia="宋体" w:cs="宋体"/>
                <w:color w:val="auto"/>
                <w:highlight w:val="none"/>
                <w:lang w:val="en-US" w:eastAsia="zh-CN"/>
              </w:rPr>
              <w:t>计算得到本项目关注点</w:t>
            </w:r>
            <w:r>
              <w:rPr>
                <w:rFonts w:hint="eastAsia" w:ascii="宋体" w:hAnsi="宋体" w:eastAsia="宋体" w:cs="宋体"/>
                <w:color w:val="auto"/>
                <w:highlight w:val="none"/>
              </w:rPr>
              <w:t>剂量参考控制水平见表11-</w:t>
            </w:r>
            <w:r>
              <w:rPr>
                <w:rFonts w:hint="eastAsia" w:ascii="宋体" w:hAnsi="宋体" w:eastAsia="宋体" w:cs="宋体"/>
                <w:color w:val="auto"/>
                <w:highlight w:val="none"/>
                <w:lang w:val="en-US" w:eastAsia="zh-CN"/>
              </w:rPr>
              <w:t>2</w:t>
            </w:r>
            <w:r>
              <w:rPr>
                <w:rFonts w:hint="eastAsia" w:ascii="宋体" w:hAnsi="宋体" w:eastAsia="宋体" w:cs="宋体"/>
                <w:color w:val="auto"/>
                <w:highlight w:val="none"/>
              </w:rPr>
              <w:t>。</w:t>
            </w:r>
          </w:p>
          <w:p>
            <w:pPr>
              <w:spacing w:line="240" w:lineRule="auto"/>
              <w:ind w:firstLine="422" w:firstLineChars="200"/>
              <w:jc w:val="center"/>
              <w:rPr>
                <w:rFonts w:hint="eastAsia" w:ascii="宋体" w:hAnsi="宋体" w:eastAsia="宋体" w:cs="宋体"/>
                <w:b/>
                <w:bCs/>
                <w:color w:val="auto"/>
                <w:sz w:val="21"/>
                <w:szCs w:val="21"/>
                <w:highlight w:val="none"/>
              </w:rPr>
            </w:pPr>
            <w:r>
              <w:rPr>
                <w:rFonts w:hint="eastAsia" w:ascii="宋体" w:hAnsi="宋体" w:eastAsia="宋体" w:cs="宋体"/>
                <w:b/>
                <w:bCs/>
                <w:color w:val="auto"/>
                <w:kern w:val="0"/>
                <w:sz w:val="21"/>
                <w:szCs w:val="21"/>
                <w:highlight w:val="none"/>
              </w:rPr>
              <w:t>表11-</w:t>
            </w:r>
            <w:r>
              <w:rPr>
                <w:rFonts w:hint="eastAsia" w:ascii="宋体" w:hAnsi="宋体" w:eastAsia="宋体" w:cs="宋体"/>
                <w:b/>
                <w:bCs/>
                <w:color w:val="auto"/>
                <w:kern w:val="0"/>
                <w:sz w:val="21"/>
                <w:szCs w:val="21"/>
                <w:highlight w:val="none"/>
                <w:lang w:val="en-US" w:eastAsia="zh-CN"/>
              </w:rPr>
              <w:t>2</w:t>
            </w:r>
            <w:r>
              <w:rPr>
                <w:rFonts w:hint="eastAsia" w:ascii="宋体" w:hAnsi="宋体" w:eastAsia="宋体" w:cs="宋体"/>
                <w:b/>
                <w:bCs/>
                <w:color w:val="auto"/>
                <w:kern w:val="0"/>
                <w:sz w:val="21"/>
                <w:szCs w:val="21"/>
                <w:highlight w:val="none"/>
              </w:rPr>
              <w:t xml:space="preserve"> </w:t>
            </w:r>
            <w:r>
              <w:rPr>
                <w:rFonts w:hint="eastAsia" w:ascii="宋体" w:hAnsi="宋体" w:eastAsia="宋体" w:cs="宋体"/>
                <w:b/>
                <w:bCs/>
                <w:color w:val="auto"/>
                <w:sz w:val="21"/>
                <w:szCs w:val="21"/>
                <w:highlight w:val="none"/>
                <w:lang w:val="en-US" w:eastAsia="zh-CN"/>
              </w:rPr>
              <w:t>加速器机房</w:t>
            </w:r>
            <w:r>
              <w:rPr>
                <w:rFonts w:hint="eastAsia" w:ascii="宋体" w:hAnsi="宋体" w:eastAsia="宋体" w:cs="宋体"/>
                <w:b/>
                <w:bCs/>
                <w:color w:val="auto"/>
                <w:sz w:val="21"/>
                <w:szCs w:val="21"/>
                <w:highlight w:val="none"/>
              </w:rPr>
              <w:t>辐射屏蔽的剂量</w:t>
            </w:r>
            <w:r>
              <w:rPr>
                <w:rFonts w:hint="eastAsia" w:ascii="宋体" w:hAnsi="宋体" w:eastAsia="宋体" w:cs="宋体"/>
                <w:b/>
                <w:bCs/>
                <w:color w:val="auto"/>
                <w:sz w:val="21"/>
                <w:szCs w:val="21"/>
                <w:highlight w:val="none"/>
                <w:lang w:val="en-US" w:eastAsia="zh-CN"/>
              </w:rPr>
              <w:t>率</w:t>
            </w:r>
            <w:r>
              <w:rPr>
                <w:rFonts w:hint="eastAsia" w:ascii="宋体" w:hAnsi="宋体" w:eastAsia="宋体" w:cs="宋体"/>
                <w:b/>
                <w:bCs/>
                <w:color w:val="auto"/>
                <w:sz w:val="21"/>
                <w:szCs w:val="21"/>
                <w:highlight w:val="none"/>
              </w:rPr>
              <w:t>参考控制水平</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6"/>
              <w:gridCol w:w="2134"/>
              <w:gridCol w:w="660"/>
              <w:gridCol w:w="810"/>
              <w:gridCol w:w="825"/>
              <w:gridCol w:w="1260"/>
              <w:gridCol w:w="1200"/>
              <w:gridCol w:w="644"/>
              <w:gridCol w:w="52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56" w:hRule="atLeast"/>
                <w:jc w:val="center"/>
              </w:trPr>
              <w:tc>
                <w:tcPr>
                  <w:tcW w:w="376" w:type="pct"/>
                  <w:tcBorders>
                    <w:tl2br w:val="nil"/>
                    <w:tr2bl w:val="nil"/>
                  </w:tcBorders>
                  <w:vAlign w:val="center"/>
                </w:tcPr>
                <w:p>
                  <w:pPr>
                    <w:spacing w:line="240" w:lineRule="auto"/>
                    <w:jc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项目</w:t>
                  </w:r>
                </w:p>
              </w:tc>
              <w:tc>
                <w:tcPr>
                  <w:tcW w:w="1224" w:type="pct"/>
                  <w:tcBorders>
                    <w:tl2br w:val="nil"/>
                    <w:tr2bl w:val="nil"/>
                  </w:tcBorders>
                  <w:vAlign w:val="center"/>
                </w:tcPr>
                <w:p>
                  <w:pPr>
                    <w:spacing w:line="240" w:lineRule="auto"/>
                    <w:jc w:val="center"/>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val="en-US" w:eastAsia="zh-CN"/>
                    </w:rPr>
                    <w:t>部位</w:t>
                  </w:r>
                </w:p>
              </w:tc>
              <w:tc>
                <w:tcPr>
                  <w:tcW w:w="378" w:type="pct"/>
                  <w:tcBorders>
                    <w:tl2br w:val="nil"/>
                    <w:tr2bl w:val="nil"/>
                  </w:tcBorders>
                  <w:vAlign w:val="center"/>
                </w:tcPr>
                <w:p>
                  <w:pPr>
                    <w:spacing w:line="240" w:lineRule="auto"/>
                    <w:jc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U</w:t>
                  </w:r>
                </w:p>
              </w:tc>
              <w:tc>
                <w:tcPr>
                  <w:tcW w:w="464" w:type="pct"/>
                  <w:tcBorders>
                    <w:tl2br w:val="nil"/>
                    <w:tr2bl w:val="nil"/>
                  </w:tcBorders>
                  <w:vAlign w:val="center"/>
                </w:tcPr>
                <w:p>
                  <w:pPr>
                    <w:spacing w:line="240" w:lineRule="auto"/>
                    <w:jc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T</w:t>
                  </w:r>
                </w:p>
              </w:tc>
              <w:tc>
                <w:tcPr>
                  <w:tcW w:w="473" w:type="pct"/>
                  <w:tcBorders>
                    <w:tl2br w:val="nil"/>
                    <w:tr2bl w:val="nil"/>
                  </w:tcBorders>
                  <w:vAlign w:val="center"/>
                </w:tcPr>
                <w:p>
                  <w:pPr>
                    <w:spacing w:line="240" w:lineRule="auto"/>
                    <w:jc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调强因子N</w:t>
                  </w:r>
                </w:p>
              </w:tc>
              <w:tc>
                <w:tcPr>
                  <w:tcW w:w="722" w:type="pct"/>
                  <w:tcBorders>
                    <w:tl2br w:val="nil"/>
                    <w:tr2bl w:val="nil"/>
                  </w:tcBorders>
                  <w:vAlign w:val="center"/>
                </w:tcPr>
                <w:p>
                  <w:pPr>
                    <w:spacing w:line="240" w:lineRule="auto"/>
                    <w:jc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object>
                      <v:shape id="_x0000_i1026" o:spt="75" type="#_x0000_t75" style="height:22.05pt;width:16.1pt;" o:ole="t" filled="f" o:preferrelative="t" stroked="f" coordsize="21600,21600">
                        <v:path/>
                        <v:fill on="f" focussize="0,0"/>
                        <v:stroke on="f" joinstyle="miter"/>
                        <v:imagedata r:id="rId21" o:title=""/>
                        <o:lock v:ext="edit" aspectratio="t"/>
                        <w10:wrap type="none"/>
                        <w10:anchorlock/>
                      </v:shape>
                      <o:OLEObject Type="Embed" ProgID="Equation.KSEE3" ShapeID="_x0000_i1026" DrawAspect="Content" ObjectID="_1468075726" r:id="rId20">
                        <o:LockedField>false</o:LockedField>
                      </o:OLEObject>
                    </w:object>
                  </w:r>
                </w:p>
                <w:p>
                  <w:pPr>
                    <w:spacing w:line="240" w:lineRule="auto"/>
                    <w:jc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（μSv/h）</w:t>
                  </w:r>
                </w:p>
              </w:tc>
              <w:tc>
                <w:tcPr>
                  <w:tcW w:w="688" w:type="pct"/>
                  <w:tcBorders>
                    <w:tl2br w:val="nil"/>
                    <w:tr2bl w:val="nil"/>
                  </w:tcBorders>
                  <w:vAlign w:val="center"/>
                </w:tcPr>
                <w:p>
                  <w:pPr>
                    <w:spacing w:line="240" w:lineRule="auto"/>
                    <w:jc w:val="center"/>
                    <w:rPr>
                      <w:rFonts w:hint="eastAsia" w:ascii="宋体" w:hAnsi="宋体" w:eastAsia="宋体" w:cs="宋体"/>
                      <w:b w:val="0"/>
                      <w:bCs w:val="0"/>
                      <w:color w:val="auto"/>
                      <w:sz w:val="21"/>
                      <w:szCs w:val="21"/>
                      <w:highlight w:val="none"/>
                      <w:vertAlign w:val="subscript"/>
                    </w:rPr>
                  </w:pPr>
                  <w:r>
                    <w:rPr>
                      <w:rFonts w:hint="eastAsia" w:ascii="宋体" w:hAnsi="宋体" w:eastAsia="宋体" w:cs="宋体"/>
                      <w:b w:val="0"/>
                      <w:bCs w:val="0"/>
                      <w:color w:val="auto"/>
                      <w:sz w:val="21"/>
                      <w:szCs w:val="21"/>
                      <w:highlight w:val="none"/>
                    </w:rPr>
                    <w:t>H</w:t>
                  </w:r>
                  <w:r>
                    <w:rPr>
                      <w:rFonts w:hint="eastAsia" w:ascii="宋体" w:hAnsi="宋体" w:eastAsia="宋体" w:cs="宋体"/>
                      <w:b w:val="0"/>
                      <w:bCs w:val="0"/>
                      <w:color w:val="auto"/>
                      <w:sz w:val="21"/>
                      <w:szCs w:val="21"/>
                      <w:highlight w:val="none"/>
                      <w:vertAlign w:val="subscript"/>
                    </w:rPr>
                    <w:t>c,max</w:t>
                  </w:r>
                </w:p>
                <w:p>
                  <w:pPr>
                    <w:spacing w:line="240" w:lineRule="auto"/>
                    <w:jc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（μSv/h）</w:t>
                  </w:r>
                </w:p>
              </w:tc>
              <w:tc>
                <w:tcPr>
                  <w:tcW w:w="672" w:type="pct"/>
                  <w:gridSpan w:val="2"/>
                  <w:tcBorders>
                    <w:tl2br w:val="nil"/>
                    <w:tr2bl w:val="nil"/>
                  </w:tcBorders>
                  <w:vAlign w:val="center"/>
                </w:tcPr>
                <w:p>
                  <w:pPr>
                    <w:spacing w:line="240" w:lineRule="auto"/>
                    <w:jc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lang w:val="en-US" w:eastAsia="zh-CN"/>
                    </w:rPr>
                    <w:t>剂量率控制限值</w:t>
                  </w:r>
                  <w:r>
                    <w:rPr>
                      <w:rFonts w:hint="eastAsia" w:ascii="宋体" w:hAnsi="宋体" w:eastAsia="宋体" w:cs="宋体"/>
                      <w:b w:val="0"/>
                      <w:bCs w:val="0"/>
                      <w:color w:val="auto"/>
                      <w:sz w:val="21"/>
                      <w:szCs w:val="21"/>
                      <w:highlight w:val="none"/>
                    </w:rPr>
                    <w:t>（μSv/h）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376" w:type="pct"/>
                  <w:vMerge w:val="restar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10MV加速器</w:t>
                  </w:r>
                </w:p>
              </w:tc>
              <w:tc>
                <w:tcPr>
                  <w:tcW w:w="1224"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1#东侧主屏蔽外30cm（主射）</w:t>
                  </w:r>
                </w:p>
              </w:tc>
              <w:tc>
                <w:tcPr>
                  <w:tcW w:w="378"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464"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1/40</w:t>
                  </w:r>
                </w:p>
              </w:tc>
              <w:tc>
                <w:tcPr>
                  <w:tcW w:w="473"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722"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w:t>
                  </w:r>
                </w:p>
              </w:tc>
              <w:tc>
                <w:tcPr>
                  <w:tcW w:w="688"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w:t>
                  </w:r>
                </w:p>
              </w:tc>
              <w:tc>
                <w:tcPr>
                  <w:tcW w:w="672" w:type="pct"/>
                  <w:gridSpan w:val="2"/>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376" w:type="pct"/>
                  <w:vMerge w:val="continue"/>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p>
              </w:tc>
              <w:tc>
                <w:tcPr>
                  <w:tcW w:w="1224"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2#东侧次屏蔽外30cm（漏射）</w:t>
                  </w:r>
                </w:p>
              </w:tc>
              <w:tc>
                <w:tcPr>
                  <w:tcW w:w="378"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464"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1/40</w:t>
                  </w:r>
                </w:p>
              </w:tc>
              <w:tc>
                <w:tcPr>
                  <w:tcW w:w="473"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w:t>
                  </w:r>
                </w:p>
              </w:tc>
              <w:tc>
                <w:tcPr>
                  <w:tcW w:w="722"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688"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w:t>
                  </w:r>
                </w:p>
              </w:tc>
              <w:tc>
                <w:tcPr>
                  <w:tcW w:w="369"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302" w:type="pct"/>
                  <w:vMerge w:val="restar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376" w:type="pct"/>
                  <w:vMerge w:val="continue"/>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p>
              </w:tc>
              <w:tc>
                <w:tcPr>
                  <w:tcW w:w="1224"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2#东侧次屏蔽外30cm（散射）</w:t>
                  </w:r>
                </w:p>
              </w:tc>
              <w:tc>
                <w:tcPr>
                  <w:tcW w:w="378"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464"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1/40</w:t>
                  </w:r>
                </w:p>
              </w:tc>
              <w:tc>
                <w:tcPr>
                  <w:tcW w:w="473"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722"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w:t>
                  </w:r>
                </w:p>
              </w:tc>
              <w:tc>
                <w:tcPr>
                  <w:tcW w:w="688"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w:t>
                  </w:r>
                </w:p>
              </w:tc>
              <w:tc>
                <w:tcPr>
                  <w:tcW w:w="369"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w:t>
                  </w:r>
                </w:p>
              </w:tc>
              <w:tc>
                <w:tcPr>
                  <w:tcW w:w="302" w:type="pct"/>
                  <w:vMerge w:val="continue"/>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376" w:type="pct"/>
                  <w:vMerge w:val="continue"/>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p>
              </w:tc>
              <w:tc>
                <w:tcPr>
                  <w:tcW w:w="1224"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3#北侧屏蔽墙外30cm（漏射）</w:t>
                  </w:r>
                </w:p>
              </w:tc>
              <w:tc>
                <w:tcPr>
                  <w:tcW w:w="378"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464"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1/40</w:t>
                  </w:r>
                </w:p>
              </w:tc>
              <w:tc>
                <w:tcPr>
                  <w:tcW w:w="473"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w:t>
                  </w:r>
                </w:p>
              </w:tc>
              <w:tc>
                <w:tcPr>
                  <w:tcW w:w="722"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c>
                <w:tcPr>
                  <w:tcW w:w="688"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w:t>
                  </w:r>
                </w:p>
              </w:tc>
              <w:tc>
                <w:tcPr>
                  <w:tcW w:w="672" w:type="pct"/>
                  <w:gridSpan w:val="2"/>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376" w:type="pct"/>
                  <w:vMerge w:val="continue"/>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p>
              </w:tc>
              <w:tc>
                <w:tcPr>
                  <w:tcW w:w="1224"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4#西侧主屏蔽外30cm（主射）</w:t>
                  </w:r>
                </w:p>
              </w:tc>
              <w:tc>
                <w:tcPr>
                  <w:tcW w:w="378"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464"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1/40</w:t>
                  </w:r>
                </w:p>
              </w:tc>
              <w:tc>
                <w:tcPr>
                  <w:tcW w:w="473"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722"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w:t>
                  </w:r>
                </w:p>
              </w:tc>
              <w:tc>
                <w:tcPr>
                  <w:tcW w:w="688"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w:t>
                  </w:r>
                </w:p>
              </w:tc>
              <w:tc>
                <w:tcPr>
                  <w:tcW w:w="672" w:type="pct"/>
                  <w:gridSpan w:val="2"/>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376" w:type="pct"/>
                  <w:vMerge w:val="continue"/>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p>
              </w:tc>
              <w:tc>
                <w:tcPr>
                  <w:tcW w:w="1224"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5#西侧次屏蔽外30cm（漏射）</w:t>
                  </w:r>
                </w:p>
              </w:tc>
              <w:tc>
                <w:tcPr>
                  <w:tcW w:w="378"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464"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1/40</w:t>
                  </w:r>
                </w:p>
              </w:tc>
              <w:tc>
                <w:tcPr>
                  <w:tcW w:w="473"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w:t>
                  </w:r>
                </w:p>
              </w:tc>
              <w:tc>
                <w:tcPr>
                  <w:tcW w:w="722"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688"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w:t>
                  </w:r>
                </w:p>
              </w:tc>
              <w:tc>
                <w:tcPr>
                  <w:tcW w:w="369"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302" w:type="pct"/>
                  <w:vMerge w:val="restar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376" w:type="pct"/>
                  <w:vMerge w:val="continue"/>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p>
              </w:tc>
              <w:tc>
                <w:tcPr>
                  <w:tcW w:w="1224"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5#西侧次屏蔽外30cm（散射）</w:t>
                  </w:r>
                </w:p>
              </w:tc>
              <w:tc>
                <w:tcPr>
                  <w:tcW w:w="378"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464"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1/40</w:t>
                  </w:r>
                </w:p>
              </w:tc>
              <w:tc>
                <w:tcPr>
                  <w:tcW w:w="473"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722"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w:t>
                  </w:r>
                </w:p>
              </w:tc>
              <w:tc>
                <w:tcPr>
                  <w:tcW w:w="688"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w:t>
                  </w:r>
                </w:p>
              </w:tc>
              <w:tc>
                <w:tcPr>
                  <w:tcW w:w="369"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w:t>
                  </w:r>
                </w:p>
              </w:tc>
              <w:tc>
                <w:tcPr>
                  <w:tcW w:w="302" w:type="pct"/>
                  <w:vMerge w:val="continue"/>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376" w:type="pct"/>
                  <w:vMerge w:val="continue"/>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rPr>
                  </w:pPr>
                </w:p>
              </w:tc>
              <w:tc>
                <w:tcPr>
                  <w:tcW w:w="1224"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6#南侧屏蔽墙外30cm（漏射）</w:t>
                  </w:r>
                </w:p>
              </w:tc>
              <w:tc>
                <w:tcPr>
                  <w:tcW w:w="378"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464"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1/40</w:t>
                  </w:r>
                </w:p>
              </w:tc>
              <w:tc>
                <w:tcPr>
                  <w:tcW w:w="473"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w:t>
                  </w:r>
                </w:p>
              </w:tc>
              <w:tc>
                <w:tcPr>
                  <w:tcW w:w="722"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c>
                <w:tcPr>
                  <w:tcW w:w="688"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w:t>
                  </w:r>
                </w:p>
              </w:tc>
              <w:tc>
                <w:tcPr>
                  <w:tcW w:w="672" w:type="pct"/>
                  <w:gridSpan w:val="2"/>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376" w:type="pct"/>
                  <w:vMerge w:val="continue"/>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p>
              </w:tc>
              <w:tc>
                <w:tcPr>
                  <w:tcW w:w="1224"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7#屏蔽门外30cm（漏射）</w:t>
                  </w:r>
                </w:p>
              </w:tc>
              <w:tc>
                <w:tcPr>
                  <w:tcW w:w="378"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464"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1/8</w:t>
                  </w:r>
                </w:p>
              </w:tc>
              <w:tc>
                <w:tcPr>
                  <w:tcW w:w="473"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w:t>
                  </w:r>
                </w:p>
              </w:tc>
              <w:tc>
                <w:tcPr>
                  <w:tcW w:w="722"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0.4</w:t>
                  </w:r>
                </w:p>
              </w:tc>
              <w:tc>
                <w:tcPr>
                  <w:tcW w:w="688"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w:t>
                  </w:r>
                </w:p>
              </w:tc>
              <w:tc>
                <w:tcPr>
                  <w:tcW w:w="369"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0.4</w:t>
                  </w:r>
                </w:p>
              </w:tc>
              <w:tc>
                <w:tcPr>
                  <w:tcW w:w="302" w:type="pct"/>
                  <w:vMerge w:val="restar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376" w:type="pct"/>
                  <w:vMerge w:val="continue"/>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p>
              </w:tc>
              <w:tc>
                <w:tcPr>
                  <w:tcW w:w="1224"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7#屏蔽门外30cm（散射）</w:t>
                  </w:r>
                </w:p>
              </w:tc>
              <w:tc>
                <w:tcPr>
                  <w:tcW w:w="378"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464"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1/8</w:t>
                  </w:r>
                </w:p>
              </w:tc>
              <w:tc>
                <w:tcPr>
                  <w:tcW w:w="473"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722"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c>
                <w:tcPr>
                  <w:tcW w:w="688"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w:t>
                  </w:r>
                </w:p>
              </w:tc>
              <w:tc>
                <w:tcPr>
                  <w:tcW w:w="369"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c>
                <w:tcPr>
                  <w:tcW w:w="302" w:type="pct"/>
                  <w:vMerge w:val="continue"/>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376" w:type="pct"/>
                  <w:vMerge w:val="continue"/>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p>
              </w:tc>
              <w:tc>
                <w:tcPr>
                  <w:tcW w:w="1224"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8#迷道外墙外30cm（漏射）</w:t>
                  </w:r>
                </w:p>
              </w:tc>
              <w:tc>
                <w:tcPr>
                  <w:tcW w:w="378"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464"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1/40</w:t>
                  </w:r>
                </w:p>
              </w:tc>
              <w:tc>
                <w:tcPr>
                  <w:tcW w:w="473"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w:t>
                  </w:r>
                </w:p>
              </w:tc>
              <w:tc>
                <w:tcPr>
                  <w:tcW w:w="722"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c>
                <w:tcPr>
                  <w:tcW w:w="688"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w:t>
                  </w:r>
                </w:p>
              </w:tc>
              <w:tc>
                <w:tcPr>
                  <w:tcW w:w="672" w:type="pct"/>
                  <w:gridSpan w:val="2"/>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376" w:type="pct"/>
                  <w:vMerge w:val="continue"/>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p>
              </w:tc>
              <w:tc>
                <w:tcPr>
                  <w:tcW w:w="1224"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9#屋顶主屏蔽外30cm（主射）</w:t>
                  </w:r>
                </w:p>
              </w:tc>
              <w:tc>
                <w:tcPr>
                  <w:tcW w:w="3399" w:type="pct"/>
                  <w:gridSpan w:val="7"/>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376" w:type="pct"/>
                  <w:vMerge w:val="continue"/>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p>
              </w:tc>
              <w:tc>
                <w:tcPr>
                  <w:tcW w:w="1224"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10#屋顶次屏蔽外30cm（漏射）</w:t>
                  </w:r>
                </w:p>
              </w:tc>
              <w:tc>
                <w:tcPr>
                  <w:tcW w:w="3399" w:type="pct"/>
                  <w:gridSpan w:val="7"/>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376" w:type="pct"/>
                  <w:vMerge w:val="continue"/>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p>
              </w:tc>
              <w:tc>
                <w:tcPr>
                  <w:tcW w:w="1224"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10#屋顶次屏蔽外30cm（散射）</w:t>
                  </w:r>
                </w:p>
              </w:tc>
              <w:tc>
                <w:tcPr>
                  <w:tcW w:w="3399" w:type="pct"/>
                  <w:gridSpan w:val="7"/>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100</w:t>
                  </w:r>
                </w:p>
              </w:tc>
            </w:tr>
          </w:tbl>
          <w:p>
            <w:pPr>
              <w:spacing w:line="360" w:lineRule="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注：剂量率参考控制水平计算值取</w:t>
            </w:r>
            <w:r>
              <w:rPr>
                <w:rFonts w:hint="eastAsia" w:ascii="宋体" w:hAnsi="宋体" w:eastAsia="宋体" w:cs="宋体"/>
                <w:color w:val="auto"/>
                <w:sz w:val="21"/>
                <w:szCs w:val="21"/>
                <w:highlight w:val="none"/>
              </w:rPr>
              <w:object>
                <v:shape id="_x0000_i1027" o:spt="75" type="#_x0000_t75" style="height:22.05pt;width:16.1pt;" o:ole="t" filled="f" o:preferrelative="t" stroked="f" coordsize="21600,21600">
                  <v:path/>
                  <v:fill on="f" focussize="0,0"/>
                  <v:stroke on="f" joinstyle="miter"/>
                  <v:imagedata r:id="rId21" o:title=""/>
                  <o:lock v:ext="edit" aspectratio="t"/>
                  <w10:wrap type="none"/>
                  <w10:anchorlock/>
                </v:shape>
                <o:OLEObject Type="Embed" ProgID="Equation.KSEE3" ShapeID="_x0000_i1027" DrawAspect="Content" ObjectID="_1468075727" r:id="rId22">
                  <o:LockedField>false</o:LockedField>
                </o:OLEObject>
              </w:object>
            </w:r>
            <w:r>
              <w:rPr>
                <w:rFonts w:hint="eastAsia" w:ascii="宋体" w:hAnsi="宋体" w:eastAsia="宋体" w:cs="宋体"/>
                <w:color w:val="auto"/>
                <w:sz w:val="21"/>
                <w:szCs w:val="21"/>
                <w:highlight w:val="none"/>
              </w:rPr>
              <w:t>与H</w:t>
            </w:r>
            <w:r>
              <w:rPr>
                <w:rFonts w:hint="eastAsia" w:ascii="宋体" w:hAnsi="宋体" w:eastAsia="宋体" w:cs="宋体"/>
                <w:color w:val="auto"/>
                <w:sz w:val="21"/>
                <w:szCs w:val="21"/>
                <w:highlight w:val="none"/>
                <w:vertAlign w:val="subscript"/>
              </w:rPr>
              <w:t>c,max</w:t>
            </w:r>
            <w:r>
              <w:rPr>
                <w:rFonts w:hint="eastAsia" w:ascii="宋体" w:hAnsi="宋体" w:eastAsia="宋体" w:cs="宋体"/>
                <w:color w:val="auto"/>
                <w:sz w:val="21"/>
                <w:szCs w:val="21"/>
                <w:highlight w:val="none"/>
              </w:rPr>
              <w:t>的较小值。</w:t>
            </w:r>
            <w:r>
              <w:rPr>
                <w:rFonts w:hint="eastAsia" w:ascii="宋体" w:hAnsi="宋体" w:eastAsia="宋体" w:cs="宋体"/>
                <w:color w:val="auto"/>
                <w:sz w:val="21"/>
                <w:szCs w:val="21"/>
                <w:highlight w:val="none"/>
                <w:lang w:val="en-US" w:eastAsia="zh-CN"/>
              </w:rPr>
              <w:t>与主屏蔽相连的次屏蔽区考虑复合辐射，限值根据</w:t>
            </w:r>
            <w:r>
              <w:rPr>
                <w:rFonts w:hint="eastAsia" w:ascii="宋体" w:hAnsi="宋体" w:eastAsia="宋体" w:cs="宋体"/>
                <w:color w:val="auto"/>
                <w:sz w:val="21"/>
                <w:szCs w:val="21"/>
                <w:highlight w:val="none"/>
                <w:lang w:val="zh-CN"/>
              </w:rPr>
              <w:t>GBZ/T201.2-2011中附录A</w:t>
            </w:r>
            <w:r>
              <w:rPr>
                <w:rFonts w:hint="eastAsia" w:ascii="宋体" w:hAnsi="宋体" w:eastAsia="宋体" w:cs="宋体"/>
                <w:color w:val="auto"/>
                <w:sz w:val="21"/>
                <w:szCs w:val="21"/>
                <w:highlight w:val="none"/>
                <w:lang w:val="en-US" w:eastAsia="zh-CN"/>
              </w:rPr>
              <w:t>进行确定，本项目屋顶不需要人员到达且只有借助工具才能到达，根据HJ1198-2021，机房顶外表面 30 cm 处的剂量率参考控制水平可按 100 μSv/h 加以控制。</w:t>
            </w:r>
          </w:p>
          <w:p>
            <w:pPr>
              <w:numPr>
                <w:ilvl w:val="0"/>
                <w:numId w:val="0"/>
              </w:num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3</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rPr>
              <w:t>加速器机房屏蔽</w:t>
            </w:r>
            <w:r>
              <w:rPr>
                <w:rFonts w:hint="eastAsia" w:ascii="宋体" w:hAnsi="宋体" w:eastAsia="宋体" w:cs="宋体"/>
                <w:color w:val="auto"/>
                <w:sz w:val="24"/>
                <w:highlight w:val="none"/>
                <w:lang w:val="en-US" w:eastAsia="zh-CN"/>
              </w:rPr>
              <w:t>体</w:t>
            </w:r>
            <w:r>
              <w:rPr>
                <w:rFonts w:hint="eastAsia" w:ascii="宋体" w:hAnsi="宋体" w:eastAsia="宋体" w:cs="宋体"/>
                <w:color w:val="auto"/>
                <w:sz w:val="24"/>
                <w:highlight w:val="none"/>
              </w:rPr>
              <w:t>外</w:t>
            </w:r>
            <w:r>
              <w:rPr>
                <w:rFonts w:hint="eastAsia" w:ascii="宋体" w:hAnsi="宋体" w:eastAsia="宋体" w:cs="宋体"/>
                <w:color w:val="auto"/>
                <w:spacing w:val="16"/>
                <w:sz w:val="24"/>
                <w:highlight w:val="none"/>
              </w:rPr>
              <w:t>X</w:t>
            </w:r>
            <w:r>
              <w:rPr>
                <w:rFonts w:hint="eastAsia" w:ascii="宋体" w:hAnsi="宋体" w:eastAsia="宋体" w:cs="宋体"/>
                <w:color w:val="auto"/>
                <w:spacing w:val="16"/>
                <w:kern w:val="0"/>
                <w:sz w:val="24"/>
                <w:highlight w:val="none"/>
              </w:rPr>
              <w:t>射线</w:t>
            </w:r>
            <w:r>
              <w:rPr>
                <w:rFonts w:hint="eastAsia" w:ascii="宋体" w:hAnsi="宋体" w:eastAsia="宋体" w:cs="宋体"/>
                <w:color w:val="auto"/>
                <w:sz w:val="24"/>
                <w:highlight w:val="none"/>
              </w:rPr>
              <w:t>的屏蔽分析</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lang w:val="en-US" w:eastAsia="zh-CN"/>
              </w:rPr>
              <w:t>本项目屏蔽主射线</w:t>
            </w:r>
            <w:r>
              <w:rPr>
                <w:rFonts w:hint="eastAsia" w:ascii="宋体" w:hAnsi="宋体" w:eastAsia="宋体" w:cs="宋体"/>
                <w:color w:val="auto"/>
                <w:sz w:val="24"/>
                <w:highlight w:val="none"/>
              </w:rPr>
              <w:t>根据《放射治疗机房辐射屏蔽规范第2部分：电子直线加速器放射治疗机房》(GBZ／T201.2-2011) D.1.2.5有用线束主屏蔽区半宽度计算，本项目</w:t>
            </w:r>
            <w:r>
              <w:rPr>
                <w:rFonts w:hint="eastAsia" w:ascii="宋体" w:hAnsi="宋体" w:eastAsia="宋体" w:cs="宋体"/>
                <w:color w:val="auto"/>
                <w:sz w:val="24"/>
                <w:highlight w:val="none"/>
                <w:lang w:val="en-US" w:eastAsia="zh-CN"/>
              </w:rPr>
              <w:t>东、西</w:t>
            </w:r>
            <w:r>
              <w:rPr>
                <w:rFonts w:hint="eastAsia" w:ascii="宋体" w:hAnsi="宋体" w:eastAsia="宋体" w:cs="宋体"/>
                <w:color w:val="auto"/>
                <w:sz w:val="24"/>
                <w:highlight w:val="none"/>
              </w:rPr>
              <w:t>方向墙体</w:t>
            </w:r>
            <w:r>
              <w:rPr>
                <w:rFonts w:hint="eastAsia" w:ascii="宋体" w:hAnsi="宋体" w:eastAsia="宋体" w:cs="宋体"/>
                <w:color w:val="auto"/>
                <w:sz w:val="24"/>
                <w:highlight w:val="none"/>
                <w:lang w:val="en-US" w:eastAsia="zh-CN"/>
              </w:rPr>
              <w:t>和顶棚</w:t>
            </w:r>
            <w:r>
              <w:rPr>
                <w:rFonts w:hint="eastAsia" w:ascii="宋体" w:hAnsi="宋体" w:eastAsia="宋体" w:cs="宋体"/>
                <w:color w:val="auto"/>
                <w:sz w:val="24"/>
                <w:highlight w:val="none"/>
              </w:rPr>
              <w:t>主屏蔽宽度可采用公式11-1计算：</w:t>
            </w:r>
          </w:p>
          <w:p>
            <w:pPr>
              <w:spacing w:line="360" w:lineRule="auto"/>
              <w:ind w:firstLine="1440" w:firstLineChars="600"/>
              <w:rPr>
                <w:rFonts w:hint="eastAsia" w:ascii="宋体" w:hAnsi="宋体" w:eastAsia="宋体" w:cs="宋体"/>
                <w:color w:val="auto"/>
                <w:sz w:val="24"/>
                <w:highlight w:val="none"/>
              </w:rPr>
            </w:pPr>
            <w:r>
              <w:rPr>
                <w:rFonts w:hint="eastAsia" w:ascii="宋体" w:hAnsi="宋体" w:eastAsia="宋体" w:cs="宋体"/>
                <w:color w:val="auto"/>
                <w:sz w:val="24"/>
                <w:highlight w:val="none"/>
                <w:lang w:val="en-US" w:eastAsia="zh-CN"/>
              </w:rPr>
              <w:t>主屏蔽区内凸时</w:t>
            </w:r>
            <w:r>
              <w:rPr>
                <w:rFonts w:hint="eastAsia" w:ascii="宋体" w:hAnsi="宋体" w:eastAsia="宋体" w:cs="宋体"/>
                <w:color w:val="auto"/>
                <w:sz w:val="24"/>
                <w:highlight w:val="none"/>
              </w:rPr>
              <w:t>D=2×[（1+a+X</w:t>
            </w:r>
            <w:r>
              <w:rPr>
                <w:rFonts w:hint="eastAsia" w:ascii="宋体" w:hAnsi="宋体" w:eastAsia="宋体" w:cs="宋体"/>
                <w:color w:val="auto"/>
                <w:sz w:val="24"/>
                <w:highlight w:val="none"/>
                <w:vertAlign w:val="subscript"/>
              </w:rPr>
              <w:t>2</w:t>
            </w:r>
            <w:r>
              <w:rPr>
                <w:rFonts w:hint="eastAsia" w:ascii="宋体" w:hAnsi="宋体" w:eastAsia="宋体" w:cs="宋体"/>
                <w:color w:val="auto"/>
                <w:sz w:val="24"/>
                <w:highlight w:val="none"/>
              </w:rPr>
              <w:t xml:space="preserve">）tgθ+0.3]     </w:t>
            </w:r>
          </w:p>
          <w:p>
            <w:pPr>
              <w:spacing w:line="360" w:lineRule="auto"/>
              <w:ind w:firstLine="1440" w:firstLineChars="600"/>
              <w:rPr>
                <w:rFonts w:hint="eastAsia" w:ascii="宋体" w:hAnsi="宋体" w:eastAsia="宋体" w:cs="宋体"/>
                <w:color w:val="auto"/>
                <w:highlight w:val="none"/>
              </w:rPr>
            </w:pPr>
            <w:r>
              <w:rPr>
                <w:rFonts w:hint="eastAsia" w:ascii="宋体" w:hAnsi="宋体" w:eastAsia="宋体" w:cs="宋体"/>
                <w:color w:val="auto"/>
                <w:sz w:val="24"/>
                <w:highlight w:val="none"/>
                <w:lang w:val="en-US" w:eastAsia="zh-CN"/>
              </w:rPr>
              <w:t>主屏蔽区外凸时</w:t>
            </w:r>
            <w:r>
              <w:rPr>
                <w:rFonts w:hint="eastAsia" w:ascii="宋体" w:hAnsi="宋体" w:eastAsia="宋体" w:cs="宋体"/>
                <w:color w:val="auto"/>
                <w:sz w:val="24"/>
                <w:highlight w:val="none"/>
              </w:rPr>
              <w:t>D=2×[（1+a+</w:t>
            </w:r>
            <w:r>
              <w:rPr>
                <w:rFonts w:hint="eastAsia" w:ascii="宋体" w:hAnsi="宋体" w:eastAsia="宋体" w:cs="宋体"/>
                <w:color w:val="auto"/>
                <w:sz w:val="24"/>
                <w:highlight w:val="none"/>
                <w:lang w:val="en-US" w:eastAsia="zh-CN"/>
              </w:rPr>
              <w:t>X1+</w:t>
            </w:r>
            <w:r>
              <w:rPr>
                <w:rFonts w:hint="eastAsia" w:ascii="宋体" w:hAnsi="宋体" w:eastAsia="宋体" w:cs="宋体"/>
                <w:color w:val="auto"/>
                <w:sz w:val="24"/>
                <w:highlight w:val="none"/>
              </w:rPr>
              <w:t>X</w:t>
            </w:r>
            <w:r>
              <w:rPr>
                <w:rFonts w:hint="eastAsia" w:ascii="宋体" w:hAnsi="宋体" w:eastAsia="宋体" w:cs="宋体"/>
                <w:color w:val="auto"/>
                <w:sz w:val="24"/>
                <w:highlight w:val="none"/>
                <w:vertAlign w:val="subscript"/>
              </w:rPr>
              <w:t>2</w:t>
            </w:r>
            <w:r>
              <w:rPr>
                <w:rFonts w:hint="eastAsia" w:ascii="宋体" w:hAnsi="宋体" w:eastAsia="宋体" w:cs="宋体"/>
                <w:color w:val="auto"/>
                <w:sz w:val="24"/>
                <w:highlight w:val="none"/>
              </w:rPr>
              <w:t xml:space="preserve">）tgθ+0.3]  </w:t>
            </w:r>
            <w:r>
              <w:rPr>
                <w:rFonts w:hint="eastAsia" w:ascii="宋体" w:hAnsi="宋体" w:eastAsia="宋体" w:cs="宋体"/>
                <w:color w:val="auto"/>
                <w:highlight w:val="none"/>
              </w:rPr>
              <w:t>（11-1）</w:t>
            </w:r>
          </w:p>
          <w:p>
            <w:pPr>
              <w:spacing w:line="360" w:lineRule="auto"/>
              <w:ind w:firstLine="480"/>
              <w:rPr>
                <w:rFonts w:hint="eastAsia" w:ascii="宋体" w:hAnsi="宋体" w:eastAsia="宋体" w:cs="宋体"/>
                <w:color w:val="auto"/>
                <w:sz w:val="24"/>
                <w:highlight w:val="none"/>
              </w:rPr>
            </w:pPr>
            <w:r>
              <w:rPr>
                <w:rFonts w:hint="eastAsia" w:ascii="宋体" w:hAnsi="宋体" w:eastAsia="宋体" w:cs="宋体"/>
                <w:color w:val="auto"/>
                <w:sz w:val="24"/>
                <w:highlight w:val="none"/>
              </w:rPr>
              <w:t>式中：D表示主束墙宽度（m）；</w:t>
            </w:r>
          </w:p>
          <w:p>
            <w:pPr>
              <w:spacing w:line="360" w:lineRule="auto"/>
              <w:ind w:firstLine="1200" w:firstLineChars="500"/>
              <w:rPr>
                <w:rFonts w:hint="eastAsia" w:ascii="宋体" w:hAnsi="宋体" w:eastAsia="宋体" w:cs="宋体"/>
                <w:color w:val="auto"/>
                <w:sz w:val="24"/>
                <w:highlight w:val="none"/>
              </w:rPr>
            </w:pPr>
            <w:r>
              <w:rPr>
                <w:rFonts w:hint="eastAsia" w:ascii="宋体" w:hAnsi="宋体" w:eastAsia="宋体" w:cs="宋体"/>
                <w:color w:val="auto"/>
                <w:sz w:val="24"/>
                <w:highlight w:val="none"/>
              </w:rPr>
              <w:t>a为等中心点到屏蔽墙的距离（m）；</w:t>
            </w:r>
          </w:p>
          <w:p>
            <w:pPr>
              <w:spacing w:line="360" w:lineRule="auto"/>
              <w:ind w:firstLine="1200" w:firstLineChars="500"/>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X1为次屏蔽墙的厚度（</w:t>
            </w:r>
            <w:r>
              <w:rPr>
                <w:rFonts w:hint="eastAsia" w:ascii="宋体" w:hAnsi="宋体" w:eastAsia="宋体" w:cs="宋体"/>
                <w:color w:val="auto"/>
                <w:sz w:val="24"/>
                <w:highlight w:val="none"/>
              </w:rPr>
              <w:t>m）；</w:t>
            </w:r>
          </w:p>
          <w:p>
            <w:pPr>
              <w:spacing w:line="360" w:lineRule="auto"/>
              <w:ind w:firstLine="1200" w:firstLineChars="500"/>
              <w:rPr>
                <w:rFonts w:hint="eastAsia" w:ascii="宋体" w:hAnsi="宋体" w:eastAsia="宋体" w:cs="宋体"/>
                <w:color w:val="auto"/>
                <w:highlight w:val="none"/>
                <w:lang w:val="en-US" w:eastAsia="zh-CN"/>
              </w:rPr>
            </w:pPr>
            <w:r>
              <w:rPr>
                <w:rFonts w:hint="eastAsia" w:ascii="宋体" w:hAnsi="宋体" w:eastAsia="宋体" w:cs="宋体"/>
                <w:color w:val="auto"/>
                <w:sz w:val="24"/>
                <w:highlight w:val="none"/>
              </w:rPr>
              <w:t>X</w:t>
            </w:r>
            <w:r>
              <w:rPr>
                <w:rFonts w:hint="eastAsia" w:ascii="宋体" w:hAnsi="宋体" w:eastAsia="宋体" w:cs="宋体"/>
                <w:color w:val="auto"/>
                <w:sz w:val="24"/>
                <w:highlight w:val="none"/>
                <w:vertAlign w:val="subscript"/>
                <w:lang w:val="en-US" w:eastAsia="zh-CN"/>
              </w:rPr>
              <w:t>2</w:t>
            </w:r>
            <w:r>
              <w:rPr>
                <w:rFonts w:hint="eastAsia" w:ascii="宋体" w:hAnsi="宋体" w:eastAsia="宋体" w:cs="宋体"/>
                <w:color w:val="auto"/>
                <w:sz w:val="24"/>
                <w:highlight w:val="none"/>
              </w:rPr>
              <w:t>为</w:t>
            </w:r>
            <w:r>
              <w:rPr>
                <w:rFonts w:hint="eastAsia" w:ascii="宋体" w:hAnsi="宋体" w:eastAsia="宋体" w:cs="宋体"/>
                <w:color w:val="auto"/>
                <w:sz w:val="24"/>
                <w:highlight w:val="none"/>
                <w:lang w:val="en-US" w:eastAsia="zh-CN"/>
              </w:rPr>
              <w:t>主屏蔽相对于次屏蔽增加的厚度（</w:t>
            </w:r>
            <w:r>
              <w:rPr>
                <w:rFonts w:hint="eastAsia" w:ascii="宋体" w:hAnsi="宋体" w:eastAsia="宋体" w:cs="宋体"/>
                <w:color w:val="auto"/>
                <w:sz w:val="24"/>
                <w:highlight w:val="none"/>
              </w:rPr>
              <w:t>m）</w:t>
            </w:r>
            <w:r>
              <w:rPr>
                <w:rFonts w:hint="eastAsia" w:ascii="宋体" w:hAnsi="宋体" w:eastAsia="宋体" w:cs="宋体"/>
                <w:color w:val="auto"/>
                <w:sz w:val="24"/>
                <w:highlight w:val="none"/>
                <w:lang w:eastAsia="zh-CN"/>
              </w:rPr>
              <w:t>。</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各主屏蔽墙参数选取及宽度计算结果见表11-</w:t>
            </w:r>
            <w:r>
              <w:rPr>
                <w:rFonts w:hint="eastAsia" w:ascii="宋体" w:hAnsi="宋体" w:eastAsia="宋体" w:cs="宋体"/>
                <w:color w:val="auto"/>
                <w:sz w:val="24"/>
                <w:highlight w:val="none"/>
                <w:lang w:val="en-US" w:eastAsia="zh-CN"/>
              </w:rPr>
              <w:t>3</w:t>
            </w:r>
            <w:r>
              <w:rPr>
                <w:rFonts w:hint="eastAsia" w:ascii="宋体" w:hAnsi="宋体" w:eastAsia="宋体" w:cs="宋体"/>
                <w:color w:val="auto"/>
                <w:sz w:val="24"/>
                <w:highlight w:val="none"/>
              </w:rPr>
              <w:t>所示：</w:t>
            </w:r>
          </w:p>
          <w:p>
            <w:pPr>
              <w:spacing w:line="240" w:lineRule="auto"/>
              <w:ind w:firstLine="48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表11-</w:t>
            </w: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 xml:space="preserve"> 主屏蔽宽度计算结果</w:t>
            </w:r>
          </w:p>
          <w:tbl>
            <w:tblPr>
              <w:tblStyle w:val="19"/>
              <w:tblW w:w="4998" w:type="pct"/>
              <w:jc w:val="center"/>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1125"/>
              <w:gridCol w:w="1200"/>
              <w:gridCol w:w="1890"/>
              <w:gridCol w:w="2226"/>
              <w:gridCol w:w="2273"/>
            </w:tblGrid>
            <w:tr>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exact"/>
                <w:jc w:val="center"/>
              </w:trPr>
              <w:tc>
                <w:tcPr>
                  <w:tcW w:w="1334" w:type="pct"/>
                  <w:gridSpan w:val="2"/>
                  <w:vMerge w:val="restart"/>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参数选取及计算结果</w:t>
                  </w:r>
                </w:p>
              </w:tc>
              <w:tc>
                <w:tcPr>
                  <w:tcW w:w="3665" w:type="pct"/>
                  <w:gridSpan w:val="3"/>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10</w:t>
                  </w:r>
                  <w:r>
                    <w:rPr>
                      <w:rFonts w:hint="eastAsia" w:ascii="宋体" w:hAnsi="宋体" w:eastAsia="宋体" w:cs="宋体"/>
                      <w:color w:val="auto"/>
                      <w:sz w:val="21"/>
                      <w:szCs w:val="21"/>
                      <w:highlight w:val="none"/>
                    </w:rPr>
                    <w:t>MV直线加速器机房</w:t>
                  </w:r>
                </w:p>
              </w:tc>
            </w:tr>
            <w:tr>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exact"/>
                <w:jc w:val="center"/>
              </w:trPr>
              <w:tc>
                <w:tcPr>
                  <w:tcW w:w="1334" w:type="pct"/>
                  <w:gridSpan w:val="2"/>
                  <w:vMerge w:val="continue"/>
                  <w:tcBorders>
                    <w:bottom w:val="single" w:color="000000" w:themeColor="text1" w:sz="4" w:space="0"/>
                  </w:tcBorders>
                  <w:vAlign w:val="center"/>
                </w:tcPr>
                <w:p>
                  <w:pPr>
                    <w:spacing w:line="240" w:lineRule="auto"/>
                    <w:jc w:val="center"/>
                    <w:rPr>
                      <w:rFonts w:hint="eastAsia" w:ascii="宋体" w:hAnsi="宋体" w:eastAsia="宋体" w:cs="宋体"/>
                      <w:color w:val="auto"/>
                      <w:sz w:val="21"/>
                      <w:szCs w:val="21"/>
                      <w:highlight w:val="none"/>
                    </w:rPr>
                  </w:pPr>
                </w:p>
              </w:tc>
              <w:tc>
                <w:tcPr>
                  <w:tcW w:w="1084" w:type="pct"/>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东</w:t>
                  </w:r>
                  <w:r>
                    <w:rPr>
                      <w:rFonts w:hint="eastAsia" w:ascii="宋体" w:hAnsi="宋体" w:eastAsia="宋体" w:cs="宋体"/>
                      <w:color w:val="auto"/>
                      <w:sz w:val="21"/>
                      <w:szCs w:val="21"/>
                      <w:highlight w:val="none"/>
                    </w:rPr>
                    <w:t>侧主屏蔽</w:t>
                  </w:r>
                </w:p>
              </w:tc>
              <w:tc>
                <w:tcPr>
                  <w:tcW w:w="1277" w:type="pct"/>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西</w:t>
                  </w:r>
                  <w:r>
                    <w:rPr>
                      <w:rFonts w:hint="eastAsia" w:ascii="宋体" w:hAnsi="宋体" w:eastAsia="宋体" w:cs="宋体"/>
                      <w:color w:val="auto"/>
                      <w:sz w:val="21"/>
                      <w:szCs w:val="21"/>
                      <w:highlight w:val="none"/>
                    </w:rPr>
                    <w:t>侧主屏蔽</w:t>
                  </w:r>
                </w:p>
              </w:tc>
              <w:tc>
                <w:tcPr>
                  <w:tcW w:w="1304" w:type="pct"/>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顶棚主屏蔽</w:t>
                  </w:r>
                </w:p>
              </w:tc>
            </w:tr>
            <w:tr>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exact"/>
                <w:jc w:val="center"/>
              </w:trPr>
              <w:tc>
                <w:tcPr>
                  <w:tcW w:w="645" w:type="pct"/>
                  <w:vMerge w:val="restart"/>
                  <w:tcBorders>
                    <w:top w:val="single" w:color="000000" w:themeColor="text1" w:sz="4" w:space="0"/>
                    <w:right w:val="single" w:color="000000" w:themeColor="text1" w:sz="4" w:space="0"/>
                  </w:tcBorders>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参数</w:t>
                  </w:r>
                </w:p>
              </w:tc>
              <w:tc>
                <w:tcPr>
                  <w:tcW w:w="688" w:type="pct"/>
                  <w:tcBorders>
                    <w:top w:val="single" w:color="000000" w:themeColor="text1" w:sz="4" w:space="0"/>
                    <w:left w:val="single" w:color="000000" w:themeColor="text1" w:sz="4" w:space="0"/>
                    <w:bottom w:val="single" w:color="000000" w:themeColor="text1" w:sz="4" w:space="0"/>
                  </w:tcBorders>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a/m</w:t>
                  </w:r>
                </w:p>
              </w:tc>
              <w:tc>
                <w:tcPr>
                  <w:tcW w:w="1084" w:type="pct"/>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3.5</w:t>
                  </w:r>
                </w:p>
              </w:tc>
              <w:tc>
                <w:tcPr>
                  <w:tcW w:w="1277" w:type="pct"/>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3.5</w:t>
                  </w:r>
                </w:p>
              </w:tc>
              <w:tc>
                <w:tcPr>
                  <w:tcW w:w="1304" w:type="pct"/>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2.455</w:t>
                  </w:r>
                </w:p>
              </w:tc>
            </w:tr>
            <w:tr>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exact"/>
                <w:jc w:val="center"/>
              </w:trPr>
              <w:tc>
                <w:tcPr>
                  <w:tcW w:w="645" w:type="pct"/>
                  <w:vMerge w:val="continue"/>
                  <w:tcBorders>
                    <w:right w:val="single" w:color="000000" w:themeColor="text1" w:sz="4" w:space="0"/>
                  </w:tcBorders>
                  <w:vAlign w:val="center"/>
                </w:tcPr>
                <w:p>
                  <w:pPr>
                    <w:spacing w:line="240" w:lineRule="auto"/>
                    <w:jc w:val="center"/>
                    <w:rPr>
                      <w:rFonts w:hint="eastAsia" w:ascii="宋体" w:hAnsi="宋体" w:eastAsia="宋体" w:cs="宋体"/>
                      <w:color w:val="auto"/>
                      <w:sz w:val="21"/>
                      <w:szCs w:val="21"/>
                      <w:highlight w:val="none"/>
                    </w:rPr>
                  </w:pPr>
                </w:p>
              </w:tc>
              <w:tc>
                <w:tcPr>
                  <w:tcW w:w="688" w:type="pct"/>
                  <w:tcBorders>
                    <w:top w:val="single" w:color="000000" w:themeColor="text1" w:sz="4" w:space="0"/>
                    <w:left w:val="single" w:color="000000" w:themeColor="text1" w:sz="4" w:space="0"/>
                    <w:bottom w:val="single" w:color="000000" w:themeColor="text1" w:sz="4" w:space="0"/>
                  </w:tcBorders>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X</w:t>
                  </w:r>
                  <w:r>
                    <w:rPr>
                      <w:rFonts w:hint="eastAsia" w:ascii="宋体" w:hAnsi="宋体" w:eastAsia="宋体" w:cs="宋体"/>
                      <w:color w:val="auto"/>
                      <w:sz w:val="21"/>
                      <w:szCs w:val="21"/>
                      <w:highlight w:val="none"/>
                      <w:vertAlign w:val="subscript"/>
                      <w:lang w:val="en-US" w:eastAsia="zh-CN"/>
                    </w:rPr>
                    <w:t>1</w:t>
                  </w:r>
                  <w:r>
                    <w:rPr>
                      <w:rFonts w:hint="eastAsia" w:ascii="宋体" w:hAnsi="宋体" w:eastAsia="宋体" w:cs="宋体"/>
                      <w:color w:val="auto"/>
                      <w:sz w:val="21"/>
                      <w:szCs w:val="21"/>
                      <w:highlight w:val="none"/>
                    </w:rPr>
                    <w:t>/m</w:t>
                  </w:r>
                </w:p>
              </w:tc>
              <w:tc>
                <w:tcPr>
                  <w:tcW w:w="1084" w:type="pct"/>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1.7</w:t>
                  </w:r>
                </w:p>
              </w:tc>
              <w:tc>
                <w:tcPr>
                  <w:tcW w:w="1277" w:type="pct"/>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1.7</w:t>
                  </w:r>
                </w:p>
              </w:tc>
              <w:tc>
                <w:tcPr>
                  <w:tcW w:w="1304" w:type="pct"/>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1.5</w:t>
                  </w:r>
                </w:p>
              </w:tc>
            </w:tr>
            <w:tr>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exact"/>
                <w:jc w:val="center"/>
              </w:trPr>
              <w:tc>
                <w:tcPr>
                  <w:tcW w:w="645" w:type="pct"/>
                  <w:vMerge w:val="continue"/>
                  <w:tcBorders>
                    <w:right w:val="single" w:color="000000" w:themeColor="text1" w:sz="4" w:space="0"/>
                  </w:tcBorders>
                  <w:vAlign w:val="center"/>
                </w:tcPr>
                <w:p>
                  <w:pPr>
                    <w:spacing w:line="240" w:lineRule="auto"/>
                    <w:jc w:val="center"/>
                    <w:rPr>
                      <w:rFonts w:hint="eastAsia" w:ascii="宋体" w:hAnsi="宋体" w:eastAsia="宋体" w:cs="宋体"/>
                      <w:color w:val="auto"/>
                      <w:sz w:val="21"/>
                      <w:szCs w:val="21"/>
                      <w:highlight w:val="none"/>
                    </w:rPr>
                  </w:pPr>
                </w:p>
              </w:tc>
              <w:tc>
                <w:tcPr>
                  <w:tcW w:w="688" w:type="pct"/>
                  <w:tcBorders>
                    <w:top w:val="single" w:color="000000" w:themeColor="text1" w:sz="4" w:space="0"/>
                    <w:left w:val="single" w:color="000000" w:themeColor="text1" w:sz="4" w:space="0"/>
                    <w:bottom w:val="single" w:color="000000" w:themeColor="text1" w:sz="4" w:space="0"/>
                  </w:tcBorders>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X</w:t>
                  </w:r>
                  <w:r>
                    <w:rPr>
                      <w:rFonts w:hint="eastAsia" w:ascii="宋体" w:hAnsi="宋体" w:eastAsia="宋体" w:cs="宋体"/>
                      <w:color w:val="auto"/>
                      <w:sz w:val="21"/>
                      <w:szCs w:val="21"/>
                      <w:highlight w:val="none"/>
                      <w:vertAlign w:val="subscript"/>
                    </w:rPr>
                    <w:t>2</w:t>
                  </w:r>
                  <w:r>
                    <w:rPr>
                      <w:rFonts w:hint="eastAsia" w:ascii="宋体" w:hAnsi="宋体" w:eastAsia="宋体" w:cs="宋体"/>
                      <w:color w:val="auto"/>
                      <w:sz w:val="21"/>
                      <w:szCs w:val="21"/>
                      <w:highlight w:val="none"/>
                    </w:rPr>
                    <w:t>/m</w:t>
                  </w:r>
                </w:p>
              </w:tc>
              <w:tc>
                <w:tcPr>
                  <w:tcW w:w="1084" w:type="pct"/>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w:t>
                  </w:r>
                </w:p>
              </w:tc>
              <w:tc>
                <w:tcPr>
                  <w:tcW w:w="1277" w:type="pct"/>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1.2</w:t>
                  </w:r>
                </w:p>
              </w:tc>
              <w:tc>
                <w:tcPr>
                  <w:tcW w:w="1304" w:type="pct"/>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1.7</w:t>
                  </w:r>
                </w:p>
              </w:tc>
            </w:tr>
            <w:tr>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exact"/>
                <w:jc w:val="center"/>
              </w:trPr>
              <w:tc>
                <w:tcPr>
                  <w:tcW w:w="645" w:type="pct"/>
                  <w:vMerge w:val="continue"/>
                  <w:tcBorders>
                    <w:bottom w:val="single" w:color="000000" w:themeColor="text1" w:sz="4" w:space="0"/>
                    <w:right w:val="single" w:color="000000" w:themeColor="text1" w:sz="4" w:space="0"/>
                  </w:tcBorders>
                  <w:vAlign w:val="center"/>
                </w:tcPr>
                <w:p>
                  <w:pPr>
                    <w:spacing w:line="240" w:lineRule="auto"/>
                    <w:jc w:val="center"/>
                    <w:rPr>
                      <w:rFonts w:hint="eastAsia" w:ascii="宋体" w:hAnsi="宋体" w:eastAsia="宋体" w:cs="宋体"/>
                      <w:color w:val="auto"/>
                      <w:sz w:val="21"/>
                      <w:szCs w:val="21"/>
                      <w:highlight w:val="none"/>
                    </w:rPr>
                  </w:pPr>
                </w:p>
              </w:tc>
              <w:tc>
                <w:tcPr>
                  <w:tcW w:w="688" w:type="pct"/>
                  <w:tcBorders>
                    <w:top w:val="single" w:color="000000" w:themeColor="text1" w:sz="4" w:space="0"/>
                    <w:left w:val="single" w:color="000000" w:themeColor="text1" w:sz="4" w:space="0"/>
                    <w:bottom w:val="single" w:color="000000" w:themeColor="text1" w:sz="4" w:space="0"/>
                  </w:tcBorders>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θ/°</w:t>
                  </w:r>
                </w:p>
              </w:tc>
              <w:tc>
                <w:tcPr>
                  <w:tcW w:w="1084" w:type="pct"/>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14</w:t>
                  </w:r>
                </w:p>
              </w:tc>
              <w:tc>
                <w:tcPr>
                  <w:tcW w:w="1277" w:type="pct"/>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14</w:t>
                  </w:r>
                </w:p>
              </w:tc>
              <w:tc>
                <w:tcPr>
                  <w:tcW w:w="1304" w:type="pct"/>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14</w:t>
                  </w:r>
                </w:p>
              </w:tc>
            </w:tr>
            <w:tr>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exact"/>
                <w:jc w:val="center"/>
              </w:trPr>
              <w:tc>
                <w:tcPr>
                  <w:tcW w:w="645" w:type="pct"/>
                  <w:tcBorders>
                    <w:top w:val="single" w:color="000000" w:themeColor="text1" w:sz="4" w:space="0"/>
                    <w:bottom w:val="single" w:color="000000" w:themeColor="text1" w:sz="4" w:space="0"/>
                    <w:right w:val="single" w:color="000000" w:themeColor="text1" w:sz="4" w:space="0"/>
                  </w:tcBorders>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计算结果</w:t>
                  </w:r>
                </w:p>
              </w:tc>
              <w:tc>
                <w:tcPr>
                  <w:tcW w:w="688" w:type="pct"/>
                  <w:tcBorders>
                    <w:top w:val="single" w:color="000000" w:themeColor="text1" w:sz="4" w:space="0"/>
                    <w:left w:val="single" w:color="000000" w:themeColor="text1" w:sz="4" w:space="0"/>
                    <w:bottom w:val="single" w:color="000000" w:themeColor="text1" w:sz="4" w:space="0"/>
                  </w:tcBorders>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D/m</w:t>
                  </w:r>
                </w:p>
              </w:tc>
              <w:tc>
                <w:tcPr>
                  <w:tcW w:w="1084" w:type="pct"/>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3.44</w:t>
                  </w:r>
                </w:p>
              </w:tc>
              <w:tc>
                <w:tcPr>
                  <w:tcW w:w="1277" w:type="pct"/>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3.44</w:t>
                  </w:r>
                </w:p>
              </w:tc>
              <w:tc>
                <w:tcPr>
                  <w:tcW w:w="1304" w:type="pct"/>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3.92</w:t>
                  </w:r>
                </w:p>
              </w:tc>
            </w:tr>
            <w:tr>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exact"/>
                <w:jc w:val="center"/>
              </w:trPr>
              <w:tc>
                <w:tcPr>
                  <w:tcW w:w="1334" w:type="pct"/>
                  <w:gridSpan w:val="2"/>
                  <w:tcBorders>
                    <w:top w:val="single" w:color="000000" w:themeColor="text1" w:sz="4" w:space="0"/>
                    <w:bottom w:val="single" w:color="000000" w:themeColor="text1" w:sz="4" w:space="0"/>
                  </w:tcBorders>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实际宽度/m</w:t>
                  </w:r>
                </w:p>
              </w:tc>
              <w:tc>
                <w:tcPr>
                  <w:tcW w:w="1084" w:type="pct"/>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w:t>
                  </w:r>
                </w:p>
              </w:tc>
              <w:tc>
                <w:tcPr>
                  <w:tcW w:w="1277" w:type="pct"/>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w:t>
                  </w:r>
                </w:p>
              </w:tc>
              <w:tc>
                <w:tcPr>
                  <w:tcW w:w="1304" w:type="pct"/>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w:t>
                  </w:r>
                </w:p>
              </w:tc>
            </w:tr>
            <w:tr>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exact"/>
                <w:jc w:val="center"/>
              </w:trPr>
              <w:tc>
                <w:tcPr>
                  <w:tcW w:w="1334" w:type="pct"/>
                  <w:gridSpan w:val="2"/>
                  <w:tcBorders>
                    <w:top w:val="single" w:color="000000" w:themeColor="text1" w:sz="4" w:space="0"/>
                    <w:bottom w:val="single" w:color="000000" w:themeColor="text1" w:sz="12" w:space="0"/>
                  </w:tcBorders>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是否满足要求</w:t>
                  </w:r>
                </w:p>
              </w:tc>
              <w:tc>
                <w:tcPr>
                  <w:tcW w:w="1084" w:type="pct"/>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是</w:t>
                  </w:r>
                </w:p>
              </w:tc>
              <w:tc>
                <w:tcPr>
                  <w:tcW w:w="1277" w:type="pct"/>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是</w:t>
                  </w:r>
                </w:p>
              </w:tc>
              <w:tc>
                <w:tcPr>
                  <w:tcW w:w="1304" w:type="pct"/>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是</w:t>
                  </w:r>
                </w:p>
              </w:tc>
            </w:tr>
          </w:tbl>
          <w:p>
            <w:pPr>
              <w:spacing w:line="360" w:lineRule="auto"/>
              <w:rPr>
                <w:rFonts w:hint="eastAsia" w:ascii="宋体" w:hAnsi="宋体" w:eastAsia="宋体" w:cs="宋体"/>
                <w:color w:val="auto"/>
                <w:sz w:val="24"/>
                <w:highlight w:val="none"/>
              </w:rPr>
            </w:pPr>
          </w:p>
          <w:p>
            <w:pPr>
              <w:spacing w:line="360" w:lineRule="auto"/>
              <w:ind w:firstLine="480"/>
              <w:rPr>
                <w:rFonts w:hint="eastAsia" w:ascii="宋体" w:hAnsi="宋体" w:eastAsia="宋体" w:cs="宋体"/>
                <w:color w:val="auto"/>
                <w:sz w:val="24"/>
                <w:highlight w:val="none"/>
              </w:rPr>
            </w:pPr>
            <w:r>
              <w:rPr>
                <w:rFonts w:hint="eastAsia" w:ascii="宋体" w:hAnsi="宋体" w:eastAsia="宋体" w:cs="宋体"/>
                <w:color w:val="auto"/>
                <w:sz w:val="24"/>
                <w:highlight w:val="none"/>
              </w:rPr>
              <w:t>通过计算可</w:t>
            </w:r>
            <w:r>
              <w:rPr>
                <w:rFonts w:hint="eastAsia" w:ascii="宋体" w:hAnsi="宋体" w:eastAsia="宋体" w:cs="宋体"/>
                <w:color w:val="auto"/>
                <w:sz w:val="24"/>
                <w:szCs w:val="24"/>
                <w:highlight w:val="none"/>
              </w:rPr>
              <w:t>知本项目</w:t>
            </w:r>
            <w:r>
              <w:rPr>
                <w:rStyle w:val="24"/>
                <w:rFonts w:hint="eastAsia" w:ascii="宋体" w:hAnsi="宋体" w:eastAsia="宋体" w:cs="宋体"/>
                <w:color w:val="auto"/>
                <w:sz w:val="24"/>
                <w:szCs w:val="24"/>
                <w:highlight w:val="none"/>
                <w:lang w:val="en-US" w:eastAsia="zh-CN"/>
              </w:rPr>
              <w:t>直线加速器机房的</w:t>
            </w:r>
            <w:r>
              <w:rPr>
                <w:rFonts w:hint="eastAsia" w:ascii="宋体" w:hAnsi="宋体" w:eastAsia="宋体" w:cs="宋体"/>
                <w:color w:val="auto"/>
                <w:sz w:val="24"/>
                <w:szCs w:val="24"/>
                <w:highlight w:val="none"/>
              </w:rPr>
              <w:t>主屏蔽墙的宽度均满足要求。</w:t>
            </w:r>
          </w:p>
          <w:p>
            <w:pPr>
              <w:spacing w:line="360" w:lineRule="auto"/>
              <w:ind w:firstLine="480"/>
              <w:rPr>
                <w:rFonts w:hint="eastAsia" w:ascii="宋体" w:hAnsi="宋体" w:eastAsia="宋体" w:cs="宋体"/>
                <w:color w:val="auto"/>
                <w:sz w:val="24"/>
                <w:highlight w:val="none"/>
              </w:rPr>
            </w:pPr>
            <w:r>
              <w:rPr>
                <w:rFonts w:hint="eastAsia" w:ascii="宋体" w:hAnsi="宋体" w:eastAsia="宋体" w:cs="宋体"/>
                <w:color w:val="auto"/>
                <w:sz w:val="24"/>
                <w:highlight w:val="none"/>
              </w:rPr>
              <w:t>根据《放射治疗机房的辐射屏蔽规范第2部分：电子直线加速器放射治疗机房》（GBZ/T201.2-2011）中提出的计算方法对加速器机房屏蔽墙外参考点剂量进行估算。</w:t>
            </w:r>
          </w:p>
          <w:p>
            <w:pPr>
              <w:pStyle w:val="25"/>
              <w:jc w:val="both"/>
              <w:rPr>
                <w:rFonts w:hint="eastAsia" w:ascii="宋体" w:hAnsi="宋体" w:eastAsia="宋体" w:cs="宋体"/>
                <w:color w:val="0000FF"/>
                <w:highlight w:val="none"/>
              </w:rPr>
            </w:pPr>
            <w:r>
              <w:rPr>
                <w:rFonts w:hint="eastAsia" w:ascii="宋体" w:hAnsi="宋体" w:eastAsia="宋体" w:cs="宋体"/>
                <w:color w:val="auto"/>
                <w:sz w:val="23"/>
                <w:szCs w:val="23"/>
                <w:highlight w:val="none"/>
              </w:rPr>
              <w:t xml:space="preserve">    </w:t>
            </w:r>
            <w:r>
              <w:rPr>
                <w:rFonts w:hint="eastAsia" w:ascii="宋体" w:hAnsi="宋体" w:eastAsia="宋体" w:cs="宋体"/>
                <w:color w:val="auto"/>
                <w:highlight w:val="none"/>
              </w:rPr>
              <w:t>①有用线束和泄漏辐射的屏蔽与剂量估算，屏蔽墙外30cm处参考点的剂量率</w:t>
            </w:r>
            <w:r>
              <w:rPr>
                <w:rFonts w:hint="eastAsia" w:ascii="宋体" w:hAnsi="宋体" w:eastAsia="宋体" w:cs="宋体"/>
                <w:color w:val="0000FF"/>
                <w:position w:val="-4"/>
                <w:highlight w:val="none"/>
              </w:rPr>
              <w:object>
                <v:shape id="_x0000_i1028" o:spt="75" type="#_x0000_t75" style="height:19.9pt;width:13.9pt;" o:ole="t" filled="f" o:preferrelative="t" stroked="f" coordsize="21600,21600">
                  <v:path/>
                  <v:fill on="f" focussize="0,0"/>
                  <v:stroke on="f" joinstyle="miter"/>
                  <v:imagedata r:id="rId24" o:title=""/>
                  <o:lock v:ext="edit" aspectratio="t"/>
                  <w10:wrap type="none"/>
                  <w10:anchorlock/>
                </v:shape>
                <o:OLEObject Type="Embed" ProgID="Equations" ShapeID="_x0000_i1028" DrawAspect="Content" ObjectID="_1468075728" r:id="rId23">
                  <o:LockedField>false</o:LockedField>
                </o:OLEObject>
              </w:object>
            </w:r>
            <w:r>
              <w:rPr>
                <w:rFonts w:hint="eastAsia" w:ascii="宋体" w:hAnsi="宋体" w:eastAsia="宋体" w:cs="宋体"/>
                <w:color w:val="0000FF"/>
                <w:highlight w:val="none"/>
              </w:rPr>
              <w:t xml:space="preserve">： </w:t>
            </w:r>
          </w:p>
          <w:p>
            <w:pPr>
              <w:spacing w:line="360" w:lineRule="auto"/>
              <w:ind w:firstLine="480" w:firstLineChars="200"/>
              <w:rPr>
                <w:rFonts w:hint="eastAsia" w:ascii="宋体" w:hAnsi="宋体" w:eastAsia="宋体" w:cs="宋体"/>
                <w:color w:val="auto"/>
                <w:kern w:val="0"/>
                <w:sz w:val="24"/>
                <w:highlight w:val="none"/>
              </w:rPr>
            </w:pPr>
            <w:bookmarkStart w:id="11" w:name="OLE_LINK17"/>
            <w:r>
              <w:rPr>
                <w:rFonts w:hint="eastAsia" w:ascii="宋体" w:hAnsi="宋体" w:eastAsia="宋体" w:cs="宋体"/>
                <w:color w:val="0000FF"/>
                <w:kern w:val="0"/>
                <w:sz w:val="24"/>
                <w:highlight w:val="none"/>
              </w:rPr>
              <w:t xml:space="preserve">        </w:t>
            </w:r>
            <w:r>
              <w:rPr>
                <w:rFonts w:hint="eastAsia" w:ascii="宋体" w:hAnsi="宋体" w:eastAsia="宋体" w:cs="宋体"/>
                <w:color w:val="0000FF"/>
                <w:kern w:val="0"/>
                <w:position w:val="-24"/>
                <w:sz w:val="24"/>
                <w:highlight w:val="none"/>
              </w:rPr>
              <w:object>
                <v:shape id="_x0000_i1029" o:spt="75" type="#_x0000_t75" style="height:51.4pt;width:90.65pt;" o:ole="t" filled="f" o:preferrelative="t" stroked="f" coordsize="21600,21600">
                  <v:path/>
                  <v:fill on="f" focussize="0,0"/>
                  <v:stroke on="f"/>
                  <v:imagedata r:id="rId26" o:title=""/>
                  <o:lock v:ext="edit" aspectratio="t"/>
                  <w10:wrap type="none"/>
                  <w10:anchorlock/>
                </v:shape>
                <o:OLEObject Type="Embed" ProgID="Equations" ShapeID="_x0000_i1029" DrawAspect="Content" ObjectID="_1468075729" r:id="rId25">
                  <o:LockedField>false</o:LockedField>
                </o:OLEObject>
              </w:object>
            </w:r>
            <w:bookmarkEnd w:id="11"/>
            <w:r>
              <w:rPr>
                <w:rFonts w:hint="eastAsia" w:ascii="宋体" w:hAnsi="宋体" w:eastAsia="宋体" w:cs="宋体"/>
                <w:color w:val="0000FF"/>
                <w:kern w:val="0"/>
                <w:sz w:val="24"/>
                <w:highlight w:val="none"/>
              </w:rPr>
              <w:t xml:space="preserve">                  </w:t>
            </w:r>
            <w:r>
              <w:rPr>
                <w:rFonts w:hint="eastAsia" w:ascii="宋体" w:hAnsi="宋体" w:eastAsia="宋体" w:cs="宋体"/>
                <w:color w:val="auto"/>
                <w:kern w:val="0"/>
                <w:sz w:val="24"/>
                <w:highlight w:val="none"/>
              </w:rPr>
              <w:t xml:space="preserve">     </w:t>
            </w:r>
            <w:r>
              <w:rPr>
                <w:rFonts w:hint="eastAsia" w:ascii="宋体" w:hAnsi="宋体" w:eastAsia="宋体" w:cs="宋体"/>
                <w:color w:val="auto"/>
                <w:highlight w:val="none"/>
              </w:rPr>
              <w:t>(11-2)</w:t>
            </w:r>
            <w:r>
              <w:rPr>
                <w:rFonts w:hint="eastAsia" w:ascii="宋体" w:hAnsi="宋体" w:eastAsia="宋体" w:cs="宋体"/>
                <w:color w:val="auto"/>
                <w:kern w:val="0"/>
                <w:sz w:val="24"/>
                <w:highlight w:val="none"/>
              </w:rPr>
              <w:t xml:space="preserve"> </w:t>
            </w:r>
          </w:p>
          <w:p>
            <w:pPr>
              <w:spacing w:line="360" w:lineRule="auto"/>
              <w:ind w:firstLine="480" w:firstLineChars="200"/>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 xml:space="preserve">       </w:t>
            </w:r>
            <w:r>
              <w:rPr>
                <w:rFonts w:hint="eastAsia" w:ascii="宋体" w:hAnsi="宋体" w:eastAsia="宋体" w:cs="宋体"/>
                <w:color w:val="auto"/>
                <w:kern w:val="0"/>
                <w:position w:val="-6"/>
                <w:sz w:val="24"/>
                <w:highlight w:val="none"/>
              </w:rPr>
              <w:object>
                <v:shape id="_x0000_i1030" o:spt="75" type="#_x0000_t75" style="height:20.25pt;width:135.75pt;" o:ole="t" filled="f" o:preferrelative="t" stroked="f" coordsize="21600,21600">
                  <v:path/>
                  <v:fill on="f" focussize="0,0"/>
                  <v:stroke on="f" joinstyle="miter"/>
                  <v:imagedata r:id="rId28" o:title=""/>
                  <o:lock v:ext="edit" aspectratio="t"/>
                  <w10:wrap type="none"/>
                  <w10:anchorlock/>
                </v:shape>
                <o:OLEObject Type="Embed" ProgID="Equations" ShapeID="_x0000_i1030" DrawAspect="Content" ObjectID="_1468075730" r:id="rId27">
                  <o:LockedField>false</o:LockedField>
                </o:OLEObject>
              </w:object>
            </w:r>
            <w:r>
              <w:rPr>
                <w:rFonts w:hint="eastAsia" w:ascii="宋体" w:hAnsi="宋体" w:eastAsia="宋体" w:cs="宋体"/>
                <w:color w:val="auto"/>
                <w:kern w:val="0"/>
                <w:sz w:val="24"/>
                <w:highlight w:val="none"/>
              </w:rPr>
              <w:t xml:space="preserve">                 </w:t>
            </w:r>
            <w:r>
              <w:rPr>
                <w:rFonts w:hint="eastAsia" w:ascii="宋体" w:hAnsi="宋体" w:eastAsia="宋体" w:cs="宋体"/>
                <w:color w:val="auto"/>
                <w:highlight w:val="none"/>
              </w:rPr>
              <w:t>(11-3)</w:t>
            </w:r>
          </w:p>
          <w:p>
            <w:pPr>
              <w:spacing w:line="360" w:lineRule="auto"/>
              <w:ind w:firstLine="480" w:firstLineChars="200"/>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 xml:space="preserve">       </w:t>
            </w:r>
            <w:r>
              <w:rPr>
                <w:rFonts w:hint="eastAsia" w:ascii="宋体" w:hAnsi="宋体" w:eastAsia="宋体" w:cs="宋体"/>
                <w:color w:val="auto"/>
                <w:kern w:val="0"/>
                <w:position w:val="-12"/>
                <w:sz w:val="24"/>
                <w:highlight w:val="none"/>
              </w:rPr>
              <w:object>
                <v:shape id="_x0000_i1031" o:spt="75" type="#_x0000_t75" style="height:28.15pt;width:91.9pt;" o:ole="t" filled="f" o:preferrelative="t" stroked="f" coordsize="21600,21600">
                  <v:path/>
                  <v:fill on="f" focussize="0,0"/>
                  <v:stroke on="f" joinstyle="miter"/>
                  <v:imagedata r:id="rId30" o:title=""/>
                  <o:lock v:ext="edit" aspectratio="t"/>
                  <w10:wrap type="none"/>
                  <w10:anchorlock/>
                </v:shape>
                <o:OLEObject Type="Embed" ProgID="Equations" ShapeID="_x0000_i1031" DrawAspect="Content" ObjectID="_1468075731" r:id="rId29">
                  <o:LockedField>false</o:LockedField>
                </o:OLEObject>
              </w:object>
            </w:r>
            <w:r>
              <w:rPr>
                <w:rFonts w:hint="eastAsia" w:ascii="宋体" w:hAnsi="宋体" w:eastAsia="宋体" w:cs="宋体"/>
                <w:color w:val="auto"/>
                <w:kern w:val="0"/>
                <w:sz w:val="24"/>
                <w:highlight w:val="none"/>
              </w:rPr>
              <w:t xml:space="preserve">                    </w:t>
            </w:r>
            <w:r>
              <w:rPr>
                <w:rFonts w:hint="eastAsia" w:ascii="宋体" w:hAnsi="宋体" w:eastAsia="宋体" w:cs="宋体"/>
                <w:color w:val="auto"/>
                <w:highlight w:val="none"/>
              </w:rPr>
              <w:t>(11-4)</w:t>
            </w:r>
          </w:p>
          <w:p>
            <w:pPr>
              <w:spacing w:line="360" w:lineRule="auto"/>
              <w:ind w:firstLine="480" w:firstLineChars="200"/>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其中：</w:t>
            </w:r>
            <w:r>
              <w:rPr>
                <w:rFonts w:hint="eastAsia" w:ascii="宋体" w:hAnsi="宋体" w:eastAsia="宋体" w:cs="宋体"/>
                <w:color w:val="auto"/>
                <w:kern w:val="0"/>
                <w:position w:val="-4"/>
                <w:sz w:val="24"/>
                <w:highlight w:val="none"/>
              </w:rPr>
              <w:object>
                <v:shape id="_x0000_i1032" o:spt="75" type="#_x0000_t75" style="height:19.9pt;width:13.9pt;" o:ole="t" filled="f" o:preferrelative="t" stroked="f" coordsize="21600,21600">
                  <v:path/>
                  <v:fill on="f" focussize="0,0"/>
                  <v:stroke on="f" joinstyle="miter"/>
                  <v:imagedata r:id="rId32" o:title=""/>
                  <o:lock v:ext="edit" aspectratio="t"/>
                  <w10:wrap type="none"/>
                  <w10:anchorlock/>
                </v:shape>
                <o:OLEObject Type="Embed" ProgID="Equations" ShapeID="_x0000_i1032" DrawAspect="Content" ObjectID="_1468075732" r:id="rId31">
                  <o:LockedField>false</o:LockedField>
                </o:OLEObject>
              </w:object>
            </w:r>
            <w:r>
              <w:rPr>
                <w:rFonts w:hint="eastAsia" w:ascii="宋体" w:hAnsi="宋体" w:eastAsia="宋体" w:cs="宋体"/>
                <w:color w:val="auto"/>
                <w:kern w:val="0"/>
                <w:sz w:val="24"/>
                <w:highlight w:val="none"/>
              </w:rPr>
              <w:t>—屏蔽后墙外0.3m处关注点处的剂量，μSv·h</w:t>
            </w:r>
            <w:r>
              <w:rPr>
                <w:rFonts w:hint="eastAsia" w:ascii="宋体" w:hAnsi="宋体" w:eastAsia="宋体" w:cs="宋体"/>
                <w:color w:val="auto"/>
                <w:kern w:val="0"/>
                <w:sz w:val="24"/>
                <w:highlight w:val="none"/>
                <w:vertAlign w:val="superscript"/>
              </w:rPr>
              <w:t>-1</w:t>
            </w:r>
            <w:r>
              <w:rPr>
                <w:rFonts w:hint="eastAsia" w:ascii="宋体" w:hAnsi="宋体" w:eastAsia="宋体" w:cs="宋体"/>
                <w:color w:val="auto"/>
                <w:kern w:val="0"/>
                <w:sz w:val="24"/>
                <w:highlight w:val="none"/>
              </w:rPr>
              <w:t xml:space="preserve">；  </w:t>
            </w:r>
          </w:p>
          <w:p>
            <w:pPr>
              <w:spacing w:line="360" w:lineRule="auto"/>
              <w:ind w:firstLine="480" w:firstLineChars="200"/>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 xml:space="preserve">      </w:t>
            </w:r>
            <w:r>
              <w:rPr>
                <w:rFonts w:hint="eastAsia" w:ascii="宋体" w:hAnsi="宋体" w:eastAsia="宋体" w:cs="宋体"/>
                <w:color w:val="auto"/>
                <w:highlight w:val="none"/>
              </w:rPr>
              <w:drawing>
                <wp:inline distT="0" distB="0" distL="0" distR="0">
                  <wp:extent cx="238760" cy="27432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238760" cy="274320"/>
                          </a:xfrm>
                          <a:prstGeom prst="rect">
                            <a:avLst/>
                          </a:prstGeom>
                          <a:noFill/>
                          <a:ln>
                            <a:noFill/>
                          </a:ln>
                        </pic:spPr>
                      </pic:pic>
                    </a:graphicData>
                  </a:graphic>
                </wp:inline>
              </w:drawing>
            </w:r>
            <w:r>
              <w:rPr>
                <w:rFonts w:hint="eastAsia" w:ascii="宋体" w:hAnsi="宋体" w:eastAsia="宋体" w:cs="宋体"/>
                <w:color w:val="auto"/>
                <w:kern w:val="0"/>
                <w:sz w:val="24"/>
                <w:highlight w:val="none"/>
              </w:rPr>
              <w:t>—距靶1m处的最高剂量率；</w:t>
            </w:r>
          </w:p>
          <w:p>
            <w:pPr>
              <w:spacing w:line="360" w:lineRule="auto"/>
              <w:ind w:firstLine="1200" w:firstLineChars="500"/>
              <w:rPr>
                <w:rFonts w:hint="eastAsia" w:ascii="宋体" w:hAnsi="宋体" w:eastAsia="宋体" w:cs="宋体"/>
                <w:color w:val="auto"/>
                <w:kern w:val="0"/>
                <w:sz w:val="24"/>
                <w:highlight w:val="none"/>
              </w:rPr>
            </w:pPr>
            <w:bookmarkStart w:id="12" w:name="OLE_LINK10"/>
            <w:r>
              <w:rPr>
                <w:rFonts w:hint="eastAsia" w:ascii="宋体" w:hAnsi="宋体" w:eastAsia="宋体" w:cs="宋体"/>
                <w:color w:val="auto"/>
                <w:kern w:val="0"/>
                <w:position w:val="-10"/>
                <w:sz w:val="24"/>
                <w:highlight w:val="none"/>
              </w:rPr>
              <w:object>
                <v:shape id="_x0000_i1033" o:spt="75" type="#_x0000_t75" style="height:16.15pt;width:11.25pt;" o:ole="t" filled="f" o:preferrelative="t" stroked="f" coordsize="21600,21600">
                  <v:path/>
                  <v:fill on="f" focussize="0,0"/>
                  <v:stroke on="f" joinstyle="miter"/>
                  <v:imagedata r:id="rId35" o:title=""/>
                  <o:lock v:ext="edit" aspectratio="t"/>
                  <w10:wrap type="none"/>
                  <w10:anchorlock/>
                </v:shape>
                <o:OLEObject Type="Embed" ProgID="Equations" ShapeID="_x0000_i1033" DrawAspect="Content" ObjectID="_1468075733" r:id="rId34">
                  <o:LockedField>false</o:LockedField>
                </o:OLEObject>
              </w:object>
            </w:r>
            <w:bookmarkEnd w:id="12"/>
            <w:r>
              <w:rPr>
                <w:rFonts w:hint="eastAsia" w:ascii="宋体" w:hAnsi="宋体" w:eastAsia="宋体" w:cs="宋体"/>
                <w:color w:val="auto"/>
                <w:kern w:val="0"/>
                <w:sz w:val="24"/>
                <w:highlight w:val="none"/>
              </w:rPr>
              <w:t>—对有用束为1，对泄漏辐射为泄漏辐射比率；</w:t>
            </w:r>
          </w:p>
          <w:p>
            <w:pPr>
              <w:tabs>
                <w:tab w:val="left" w:pos="4036"/>
              </w:tabs>
              <w:spacing w:line="360" w:lineRule="auto"/>
              <w:ind w:firstLine="1200" w:firstLineChars="500"/>
              <w:rPr>
                <w:rFonts w:hint="eastAsia" w:ascii="宋体" w:hAnsi="宋体" w:eastAsia="宋体" w:cs="宋体"/>
                <w:color w:val="auto"/>
                <w:kern w:val="0"/>
                <w:sz w:val="24"/>
                <w:highlight w:val="none"/>
                <w:lang w:eastAsia="zh-CN"/>
              </w:rPr>
            </w:pPr>
            <w:r>
              <w:rPr>
                <w:rFonts w:hint="eastAsia" w:ascii="宋体" w:hAnsi="宋体" w:eastAsia="宋体" w:cs="宋体"/>
                <w:color w:val="auto"/>
                <w:kern w:val="0"/>
                <w:position w:val="-4"/>
                <w:sz w:val="24"/>
                <w:highlight w:val="none"/>
              </w:rPr>
              <w:object>
                <v:shape id="_x0000_i1034" o:spt="75" type="#_x0000_t75" style="height:12.75pt;width:11.25pt;" o:ole="t" filled="f" o:preferrelative="t" stroked="f" coordsize="21600,21600">
                  <v:path/>
                  <v:fill on="f" focussize="0,0"/>
                  <v:stroke on="f" joinstyle="miter"/>
                  <v:imagedata r:id="rId37" o:title=""/>
                  <o:lock v:ext="edit" aspectratio="t"/>
                  <w10:wrap type="none"/>
                  <w10:anchorlock/>
                </v:shape>
                <o:OLEObject Type="Embed" ProgID="Equations" ShapeID="_x0000_i1034" DrawAspect="Content" ObjectID="_1468075734" r:id="rId36">
                  <o:LockedField>false</o:LockedField>
                </o:OLEObject>
              </w:object>
            </w:r>
            <w:r>
              <w:rPr>
                <w:rFonts w:hint="eastAsia" w:ascii="宋体" w:hAnsi="宋体" w:eastAsia="宋体" w:cs="宋体"/>
                <w:color w:val="auto"/>
                <w:kern w:val="0"/>
                <w:sz w:val="24"/>
                <w:highlight w:val="none"/>
              </w:rPr>
              <w:t>—透射因子；</w:t>
            </w:r>
            <w:r>
              <w:rPr>
                <w:rFonts w:hint="eastAsia" w:ascii="宋体" w:hAnsi="宋体" w:eastAsia="宋体" w:cs="宋体"/>
                <w:color w:val="auto"/>
                <w:kern w:val="0"/>
                <w:sz w:val="24"/>
                <w:highlight w:val="none"/>
                <w:lang w:eastAsia="zh-CN"/>
              </w:rPr>
              <w:tab/>
            </w:r>
          </w:p>
          <w:p>
            <w:pPr>
              <w:spacing w:line="360" w:lineRule="auto"/>
              <w:ind w:firstLine="1200" w:firstLineChars="500"/>
              <w:rPr>
                <w:rFonts w:hint="eastAsia" w:ascii="宋体" w:hAnsi="宋体" w:eastAsia="宋体" w:cs="宋体"/>
                <w:color w:val="auto"/>
                <w:kern w:val="0"/>
                <w:sz w:val="24"/>
                <w:highlight w:val="none"/>
              </w:rPr>
            </w:pPr>
            <w:r>
              <w:rPr>
                <w:rFonts w:hint="eastAsia" w:ascii="宋体" w:hAnsi="宋体" w:eastAsia="宋体" w:cs="宋体"/>
                <w:i/>
                <w:iCs/>
                <w:color w:val="auto"/>
                <w:kern w:val="0"/>
                <w:sz w:val="24"/>
                <w:highlight w:val="none"/>
              </w:rPr>
              <w:t>X</w:t>
            </w:r>
            <w:r>
              <w:rPr>
                <w:rFonts w:hint="eastAsia" w:ascii="宋体" w:hAnsi="宋体" w:eastAsia="宋体" w:cs="宋体"/>
                <w:color w:val="auto"/>
                <w:kern w:val="0"/>
                <w:sz w:val="24"/>
                <w:highlight w:val="none"/>
              </w:rPr>
              <w:t>、</w:t>
            </w:r>
            <w:r>
              <w:rPr>
                <w:rFonts w:hint="eastAsia" w:ascii="宋体" w:hAnsi="宋体" w:eastAsia="宋体" w:cs="宋体"/>
                <w:i/>
                <w:iCs/>
                <w:color w:val="auto"/>
                <w:kern w:val="0"/>
                <w:sz w:val="24"/>
                <w:highlight w:val="none"/>
              </w:rPr>
              <w:t>X</w:t>
            </w:r>
            <w:r>
              <w:rPr>
                <w:rFonts w:hint="eastAsia" w:ascii="宋体" w:hAnsi="宋体" w:eastAsia="宋体" w:cs="宋体"/>
                <w:color w:val="auto"/>
                <w:kern w:val="0"/>
                <w:sz w:val="24"/>
                <w:highlight w:val="none"/>
                <w:vertAlign w:val="subscript"/>
              </w:rPr>
              <w:t>e</w:t>
            </w:r>
            <w:r>
              <w:rPr>
                <w:rFonts w:hint="eastAsia" w:ascii="宋体" w:hAnsi="宋体" w:eastAsia="宋体" w:cs="宋体"/>
                <w:color w:val="auto"/>
                <w:kern w:val="0"/>
                <w:sz w:val="24"/>
                <w:highlight w:val="none"/>
              </w:rPr>
              <w:t>—分别为屏蔽物质厚度和有效屏蔽厚度，cm；</w:t>
            </w:r>
          </w:p>
          <w:p>
            <w:pPr>
              <w:spacing w:line="360" w:lineRule="auto"/>
              <w:ind w:firstLine="1200" w:firstLineChars="500"/>
              <w:rPr>
                <w:rFonts w:hint="eastAsia" w:ascii="宋体" w:hAnsi="宋体" w:eastAsia="宋体" w:cs="宋体"/>
                <w:color w:val="auto"/>
                <w:kern w:val="0"/>
                <w:sz w:val="24"/>
                <w:highlight w:val="none"/>
              </w:rPr>
            </w:pPr>
            <w:r>
              <w:rPr>
                <w:rFonts w:hint="eastAsia" w:ascii="宋体" w:hAnsi="宋体" w:eastAsia="宋体" w:cs="宋体"/>
                <w:i/>
                <w:iCs/>
                <w:color w:val="auto"/>
                <w:kern w:val="0"/>
                <w:sz w:val="24"/>
                <w:highlight w:val="none"/>
              </w:rPr>
              <w:t>TVL</w:t>
            </w:r>
            <w:r>
              <w:rPr>
                <w:rFonts w:hint="eastAsia" w:ascii="宋体" w:hAnsi="宋体" w:eastAsia="宋体" w:cs="宋体"/>
                <w:color w:val="auto"/>
                <w:kern w:val="0"/>
                <w:sz w:val="24"/>
                <w:highlight w:val="none"/>
              </w:rPr>
              <w:t>、</w:t>
            </w:r>
            <w:r>
              <w:rPr>
                <w:rFonts w:hint="eastAsia" w:ascii="宋体" w:hAnsi="宋体" w:eastAsia="宋体" w:cs="宋体"/>
                <w:i/>
                <w:iCs/>
                <w:color w:val="auto"/>
                <w:kern w:val="0"/>
                <w:sz w:val="24"/>
                <w:highlight w:val="none"/>
              </w:rPr>
              <w:t>TVL</w:t>
            </w:r>
            <w:r>
              <w:rPr>
                <w:rFonts w:hint="eastAsia" w:ascii="宋体" w:hAnsi="宋体" w:eastAsia="宋体" w:cs="宋体"/>
                <w:color w:val="auto"/>
                <w:kern w:val="0"/>
                <w:sz w:val="24"/>
                <w:highlight w:val="none"/>
                <w:vertAlign w:val="subscript"/>
              </w:rPr>
              <w:t>1</w:t>
            </w:r>
            <w:r>
              <w:rPr>
                <w:rFonts w:hint="eastAsia" w:ascii="宋体" w:hAnsi="宋体" w:eastAsia="宋体" w:cs="宋体"/>
                <w:color w:val="auto"/>
                <w:kern w:val="0"/>
                <w:sz w:val="24"/>
                <w:highlight w:val="none"/>
              </w:rPr>
              <w:t>—分别为辐射在屏蔽物质中的第一个什值层和平衡什值层厚度；</w:t>
            </w:r>
          </w:p>
          <w:p>
            <w:pPr>
              <w:spacing w:line="360" w:lineRule="auto"/>
              <w:ind w:firstLine="1050" w:firstLineChars="500"/>
              <w:rPr>
                <w:rFonts w:hint="eastAsia" w:ascii="宋体" w:hAnsi="宋体" w:eastAsia="宋体" w:cs="宋体"/>
                <w:color w:val="auto"/>
                <w:kern w:val="0"/>
                <w:sz w:val="24"/>
                <w:highlight w:val="none"/>
              </w:rPr>
            </w:pPr>
            <w:r>
              <w:rPr>
                <w:rFonts w:hint="eastAsia" w:ascii="宋体" w:hAnsi="宋体" w:eastAsia="宋体" w:cs="宋体"/>
                <w:color w:val="auto"/>
                <w:highlight w:val="none"/>
              </w:rPr>
              <w:t xml:space="preserve"> </w:t>
            </w:r>
            <w:r>
              <w:rPr>
                <w:rFonts w:hint="eastAsia" w:ascii="宋体" w:hAnsi="宋体" w:eastAsia="宋体" w:cs="宋体"/>
                <w:color w:val="auto"/>
                <w:position w:val="-6"/>
                <w:highlight w:val="none"/>
              </w:rPr>
              <w:object>
                <v:shape id="_x0000_i1035" o:spt="75" type="#_x0000_t75" style="height:13.9pt;width:10.15pt;" o:ole="t" filled="f" o:preferrelative="t" stroked="f" coordsize="21600,21600">
                  <v:path/>
                  <v:fill on="f" focussize="0,0"/>
                  <v:stroke on="f" joinstyle="miter"/>
                  <v:imagedata r:id="rId39" o:title=""/>
                  <o:lock v:ext="edit" aspectratio="t"/>
                  <w10:wrap type="none"/>
                  <w10:anchorlock/>
                </v:shape>
                <o:OLEObject Type="Embed" ProgID="Equations" ShapeID="_x0000_i1035" DrawAspect="Content" ObjectID="_1468075735" r:id="rId38">
                  <o:LockedField>false</o:LockedField>
                </o:OLEObject>
              </w:object>
            </w:r>
            <w:r>
              <w:rPr>
                <w:rFonts w:hint="eastAsia" w:ascii="宋体" w:hAnsi="宋体" w:eastAsia="宋体" w:cs="宋体"/>
                <w:color w:val="auto"/>
                <w:sz w:val="24"/>
                <w:highlight w:val="none"/>
              </w:rPr>
              <w:t>—为X射线斜射角；</w:t>
            </w:r>
          </w:p>
          <w:p>
            <w:pPr>
              <w:spacing w:line="360" w:lineRule="auto"/>
              <w:ind w:firstLine="1200" w:firstLineChars="500"/>
              <w:rPr>
                <w:rFonts w:hint="eastAsia" w:ascii="宋体" w:hAnsi="宋体" w:eastAsia="宋体" w:cs="宋体"/>
                <w:color w:val="auto"/>
                <w:kern w:val="0"/>
                <w:sz w:val="24"/>
                <w:highlight w:val="none"/>
              </w:rPr>
            </w:pPr>
            <w:r>
              <w:rPr>
                <w:rFonts w:hint="eastAsia" w:ascii="宋体" w:hAnsi="宋体" w:eastAsia="宋体" w:cs="宋体"/>
                <w:color w:val="auto"/>
                <w:kern w:val="0"/>
                <w:position w:val="-10"/>
                <w:sz w:val="24"/>
                <w:highlight w:val="none"/>
              </w:rPr>
              <w:object>
                <v:shape id="_x0000_i1036" o:spt="75" type="#_x0000_t75" style="height:12.75pt;width:11.25pt;" o:ole="t" filled="f" o:preferrelative="t" stroked="f" coordsize="21600,21600">
                  <v:path/>
                  <v:fill on="f" focussize="0,0"/>
                  <v:stroke on="f" joinstyle="miter"/>
                  <v:imagedata r:id="rId41" o:title=""/>
                  <o:lock v:ext="edit" aspectratio="t"/>
                  <w10:wrap type="none"/>
                  <w10:anchorlock/>
                </v:shape>
                <o:OLEObject Type="Embed" ProgID="Equations" ShapeID="_x0000_i1036" DrawAspect="Content" ObjectID="_1468075736" r:id="rId40">
                  <o:LockedField>false</o:LockedField>
                </o:OLEObject>
              </w:object>
            </w:r>
            <w:r>
              <w:rPr>
                <w:rFonts w:hint="eastAsia" w:ascii="宋体" w:hAnsi="宋体" w:eastAsia="宋体" w:cs="宋体"/>
                <w:color w:val="auto"/>
                <w:kern w:val="0"/>
                <w:sz w:val="24"/>
                <w:highlight w:val="none"/>
              </w:rPr>
              <w:t>—关注点到靶点的距离。</w:t>
            </w:r>
          </w:p>
          <w:p>
            <w:pPr>
              <w:spacing w:line="360" w:lineRule="auto"/>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 xml:space="preserve">      ②患者一次散射辐射的屏蔽与剂量估算，屏蔽墙外30cm处参考点的剂量率</w:t>
            </w:r>
            <w:r>
              <w:rPr>
                <w:rFonts w:hint="eastAsia" w:ascii="宋体" w:hAnsi="宋体" w:eastAsia="宋体" w:cs="宋体"/>
                <w:color w:val="auto"/>
                <w:position w:val="-4"/>
                <w:highlight w:val="none"/>
              </w:rPr>
              <w:object>
                <v:shape id="_x0000_i1037" o:spt="75" type="#_x0000_t75" style="height:19.9pt;width:13.9pt;" o:ole="t" filled="f" o:preferrelative="t" stroked="f" coordsize="21600,21600">
                  <v:path/>
                  <v:fill on="f" focussize="0,0"/>
                  <v:stroke on="f" joinstyle="miter"/>
                  <v:imagedata r:id="rId24" o:title=""/>
                  <o:lock v:ext="edit" aspectratio="t"/>
                  <w10:wrap type="none"/>
                  <w10:anchorlock/>
                </v:shape>
                <o:OLEObject Type="Embed" ProgID="Equations" ShapeID="_x0000_i1037" DrawAspect="Content" ObjectID="_1468075737" r:id="rId42">
                  <o:LockedField>false</o:LockedField>
                </o:OLEObject>
              </w:object>
            </w:r>
            <w:r>
              <w:rPr>
                <w:rFonts w:hint="eastAsia" w:ascii="宋体" w:hAnsi="宋体" w:eastAsia="宋体" w:cs="宋体"/>
                <w:color w:val="auto"/>
                <w:kern w:val="0"/>
                <w:sz w:val="24"/>
                <w:highlight w:val="none"/>
              </w:rPr>
              <w:t>：</w:t>
            </w:r>
          </w:p>
          <w:p>
            <w:pPr>
              <w:spacing w:line="360" w:lineRule="auto"/>
              <w:ind w:firstLine="1200" w:firstLineChars="500"/>
              <w:rPr>
                <w:rFonts w:hint="eastAsia" w:ascii="宋体" w:hAnsi="宋体" w:eastAsia="宋体" w:cs="宋体"/>
                <w:color w:val="auto"/>
                <w:kern w:val="0"/>
                <w:sz w:val="24"/>
                <w:highlight w:val="none"/>
              </w:rPr>
            </w:pPr>
            <w:r>
              <w:rPr>
                <w:rFonts w:hint="eastAsia" w:ascii="宋体" w:hAnsi="宋体" w:eastAsia="宋体" w:cs="宋体"/>
                <w:color w:val="auto"/>
                <w:kern w:val="0"/>
                <w:position w:val="-32"/>
                <w:sz w:val="24"/>
                <w:highlight w:val="none"/>
              </w:rPr>
              <w:object>
                <v:shape id="_x0000_i1038" o:spt="75" type="#_x0000_t75" style="height:45pt;width:163.15pt;" o:ole="t" filled="f" o:preferrelative="t" stroked="f" coordsize="21600,21600">
                  <v:path/>
                  <v:fill on="f" focussize="0,0"/>
                  <v:stroke on="f" joinstyle="miter"/>
                  <v:imagedata r:id="rId44" croptop="14789f" o:title=""/>
                  <o:lock v:ext="edit" aspectratio="t"/>
                  <w10:wrap type="none"/>
                  <w10:anchorlock/>
                </v:shape>
                <o:OLEObject Type="Embed" ProgID="Equations" ShapeID="_x0000_i1038" DrawAspect="Content" ObjectID="_1468075738" r:id="rId43">
                  <o:LockedField>false</o:LockedField>
                </o:OLEObject>
              </w:object>
            </w:r>
            <w:r>
              <w:rPr>
                <w:rFonts w:hint="eastAsia" w:ascii="宋体" w:hAnsi="宋体" w:eastAsia="宋体" w:cs="宋体"/>
                <w:color w:val="auto"/>
                <w:kern w:val="0"/>
                <w:sz w:val="24"/>
                <w:highlight w:val="none"/>
              </w:rPr>
              <w:t xml:space="preserve">             </w:t>
            </w:r>
            <w:r>
              <w:rPr>
                <w:rFonts w:hint="eastAsia" w:ascii="宋体" w:hAnsi="宋体" w:eastAsia="宋体" w:cs="宋体"/>
                <w:color w:val="auto"/>
                <w:highlight w:val="none"/>
              </w:rPr>
              <w:t>(11-5)</w:t>
            </w:r>
          </w:p>
          <w:p>
            <w:pPr>
              <w:spacing w:line="360" w:lineRule="auto"/>
              <w:ind w:firstLine="1200" w:firstLineChars="500"/>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式中：</w:t>
            </w:r>
          </w:p>
          <w:p>
            <w:pPr>
              <w:spacing w:line="360" w:lineRule="auto"/>
              <w:ind w:firstLine="1200" w:firstLineChars="500"/>
              <w:rPr>
                <w:rFonts w:hint="eastAsia" w:ascii="宋体" w:hAnsi="宋体" w:eastAsia="宋体" w:cs="宋体"/>
                <w:color w:val="auto"/>
                <w:kern w:val="0"/>
                <w:sz w:val="24"/>
                <w:highlight w:val="none"/>
              </w:rPr>
            </w:pPr>
            <w:r>
              <w:rPr>
                <w:rFonts w:hint="eastAsia" w:ascii="宋体" w:hAnsi="宋体" w:eastAsia="宋体" w:cs="宋体"/>
                <w:i/>
                <w:iCs/>
                <w:color w:val="auto"/>
                <w:kern w:val="0"/>
                <w:sz w:val="24"/>
                <w:highlight w:val="none"/>
              </w:rPr>
              <w:t>F</w:t>
            </w:r>
            <w:r>
              <w:rPr>
                <w:rFonts w:hint="eastAsia" w:ascii="宋体" w:hAnsi="宋体" w:eastAsia="宋体" w:cs="宋体"/>
                <w:color w:val="auto"/>
                <w:kern w:val="0"/>
                <w:sz w:val="24"/>
                <w:highlight w:val="none"/>
              </w:rPr>
              <w:t>—治疗装置有用线束在等中心处最大治疗野面积，cm</w:t>
            </w:r>
            <w:r>
              <w:rPr>
                <w:rFonts w:hint="eastAsia" w:ascii="宋体" w:hAnsi="宋体" w:eastAsia="宋体" w:cs="宋体"/>
                <w:color w:val="auto"/>
                <w:kern w:val="0"/>
                <w:sz w:val="24"/>
                <w:highlight w:val="none"/>
                <w:vertAlign w:val="superscript"/>
              </w:rPr>
              <w:t>2</w:t>
            </w:r>
            <w:r>
              <w:rPr>
                <w:rFonts w:hint="eastAsia" w:ascii="宋体" w:hAnsi="宋体" w:eastAsia="宋体" w:cs="宋体"/>
                <w:color w:val="auto"/>
                <w:kern w:val="0"/>
                <w:sz w:val="24"/>
                <w:highlight w:val="none"/>
              </w:rPr>
              <w:t>；</w:t>
            </w:r>
          </w:p>
          <w:p>
            <w:pPr>
              <w:spacing w:line="360" w:lineRule="auto"/>
              <w:ind w:firstLine="1200" w:firstLineChars="500"/>
              <w:rPr>
                <w:rFonts w:hint="eastAsia" w:ascii="宋体" w:hAnsi="宋体" w:eastAsia="宋体" w:cs="宋体"/>
                <w:color w:val="auto"/>
                <w:kern w:val="0"/>
                <w:sz w:val="24"/>
                <w:highlight w:val="none"/>
              </w:rPr>
            </w:pPr>
            <w:r>
              <w:rPr>
                <w:rFonts w:hint="eastAsia" w:ascii="宋体" w:hAnsi="宋体" w:eastAsia="宋体" w:cs="宋体"/>
                <w:i/>
                <w:iCs/>
                <w:color w:val="auto"/>
                <w:kern w:val="0"/>
                <w:sz w:val="24"/>
                <w:highlight w:val="none"/>
              </w:rPr>
              <w:t>R</w:t>
            </w:r>
            <w:r>
              <w:rPr>
                <w:rFonts w:hint="eastAsia" w:ascii="宋体" w:hAnsi="宋体" w:eastAsia="宋体" w:cs="宋体"/>
                <w:color w:val="auto"/>
                <w:kern w:val="0"/>
                <w:sz w:val="24"/>
                <w:highlight w:val="none"/>
                <w:vertAlign w:val="subscript"/>
              </w:rPr>
              <w:t>s</w:t>
            </w:r>
            <w:r>
              <w:rPr>
                <w:rFonts w:hint="eastAsia" w:ascii="宋体" w:hAnsi="宋体" w:eastAsia="宋体" w:cs="宋体"/>
                <w:color w:val="auto"/>
                <w:kern w:val="0"/>
                <w:sz w:val="24"/>
                <w:highlight w:val="none"/>
              </w:rPr>
              <w:t>—患者到关注点的距离，m；</w:t>
            </w:r>
          </w:p>
          <w:p>
            <w:pPr>
              <w:spacing w:line="360" w:lineRule="auto"/>
              <w:ind w:firstLine="1200" w:firstLineChars="500"/>
              <w:rPr>
                <w:rFonts w:hint="eastAsia" w:ascii="宋体" w:hAnsi="宋体" w:eastAsia="宋体" w:cs="宋体"/>
                <w:color w:val="auto"/>
                <w:kern w:val="0"/>
                <w:sz w:val="24"/>
                <w:highlight w:val="none"/>
              </w:rPr>
            </w:pPr>
            <w:r>
              <w:rPr>
                <w:rFonts w:hint="eastAsia" w:ascii="宋体" w:hAnsi="宋体" w:eastAsia="宋体" w:cs="宋体"/>
                <w:i/>
                <w:iCs/>
                <w:color w:val="auto"/>
                <w:kern w:val="0"/>
                <w:sz w:val="24"/>
                <w:highlight w:val="none"/>
              </w:rPr>
              <w:t>α</w:t>
            </w:r>
            <w:r>
              <w:rPr>
                <w:rFonts w:hint="eastAsia" w:ascii="宋体" w:hAnsi="宋体" w:eastAsia="宋体" w:cs="宋体"/>
                <w:color w:val="auto"/>
                <w:kern w:val="0"/>
                <w:sz w:val="24"/>
                <w:highlight w:val="none"/>
                <w:vertAlign w:val="subscript"/>
              </w:rPr>
              <w:t>ph</w:t>
            </w:r>
            <w:r>
              <w:rPr>
                <w:rFonts w:hint="eastAsia" w:ascii="宋体" w:hAnsi="宋体" w:eastAsia="宋体" w:cs="宋体"/>
                <w:color w:val="auto"/>
                <w:kern w:val="0"/>
                <w:sz w:val="24"/>
                <w:highlight w:val="none"/>
              </w:rPr>
              <w:t>—400 cm</w:t>
            </w:r>
            <w:r>
              <w:rPr>
                <w:rFonts w:hint="eastAsia" w:ascii="宋体" w:hAnsi="宋体" w:eastAsia="宋体" w:cs="宋体"/>
                <w:color w:val="auto"/>
                <w:kern w:val="0"/>
                <w:sz w:val="24"/>
                <w:highlight w:val="none"/>
                <w:vertAlign w:val="superscript"/>
              </w:rPr>
              <w:t>2</w:t>
            </w:r>
            <w:r>
              <w:rPr>
                <w:rFonts w:hint="eastAsia" w:ascii="宋体" w:hAnsi="宋体" w:eastAsia="宋体" w:cs="宋体"/>
                <w:color w:val="auto"/>
                <w:kern w:val="0"/>
                <w:sz w:val="24"/>
                <w:highlight w:val="none"/>
              </w:rPr>
              <w:t>面积上的散射因子。</w:t>
            </w:r>
          </w:p>
          <w:p>
            <w:pPr>
              <w:spacing w:line="360" w:lineRule="auto"/>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 xml:space="preserve">      ③</w:t>
            </w:r>
            <w:r>
              <w:rPr>
                <w:rFonts w:hint="eastAsia" w:ascii="宋体" w:hAnsi="宋体" w:eastAsia="宋体" w:cs="宋体"/>
                <w:color w:val="auto"/>
                <w:kern w:val="0"/>
                <w:sz w:val="24"/>
                <w:highlight w:val="none"/>
                <w:lang w:val="en-US" w:eastAsia="zh-CN"/>
              </w:rPr>
              <w:t>患者二次散射（主束经患者和屏蔽墙的2次散射）</w:t>
            </w:r>
            <w:r>
              <w:rPr>
                <w:rFonts w:hint="eastAsia" w:ascii="宋体" w:hAnsi="宋体" w:eastAsia="宋体" w:cs="宋体"/>
                <w:color w:val="auto"/>
                <w:kern w:val="0"/>
                <w:sz w:val="24"/>
                <w:highlight w:val="none"/>
              </w:rPr>
              <w:t>剂量估算：</w:t>
            </w:r>
          </w:p>
          <w:p>
            <w:pPr>
              <w:spacing w:line="360" w:lineRule="auto"/>
              <w:ind w:firstLine="720" w:firstLineChars="300"/>
              <w:rPr>
                <w:rFonts w:hint="eastAsia" w:ascii="宋体" w:hAnsi="宋体" w:eastAsia="宋体" w:cs="宋体"/>
                <w:color w:val="auto"/>
                <w:kern w:val="0"/>
                <w:sz w:val="24"/>
                <w:highlight w:val="none"/>
              </w:rPr>
            </w:pPr>
            <w:r>
              <w:rPr>
                <w:rFonts w:hint="eastAsia" w:ascii="宋体" w:hAnsi="宋体" w:eastAsia="宋体" w:cs="宋体"/>
                <w:color w:val="0000FF"/>
                <w:kern w:val="0"/>
                <w:position w:val="-32"/>
                <w:sz w:val="24"/>
                <w:highlight w:val="none"/>
              </w:rPr>
              <w:object>
                <v:shape id="_x0000_i1039" o:spt="75" type="#_x0000_t75" style="height:49.15pt;width:195.75pt;" o:ole="t" filled="f" o:preferrelative="t" stroked="f" coordsize="21600,21600">
                  <v:path/>
                  <v:fill on="f" focussize="0,0"/>
                  <v:stroke on="f"/>
                  <v:imagedata r:id="rId46" o:title=""/>
                  <o:lock v:ext="edit" aspectratio="t"/>
                  <w10:wrap type="none"/>
                  <w10:anchorlock/>
                </v:shape>
                <o:OLEObject Type="Embed" ProgID="Equations" ShapeID="_x0000_i1039" DrawAspect="Content" ObjectID="_1468075739" r:id="rId45">
                  <o:LockedField>false</o:LockedField>
                </o:OLEObject>
              </w:object>
            </w:r>
            <w:r>
              <w:rPr>
                <w:rFonts w:hint="eastAsia" w:ascii="宋体" w:hAnsi="宋体" w:eastAsia="宋体" w:cs="宋体"/>
                <w:color w:val="0000FF"/>
                <w:kern w:val="0"/>
                <w:position w:val="-32"/>
                <w:sz w:val="24"/>
                <w:highlight w:val="none"/>
              </w:rPr>
              <w:t xml:space="preserve">  </w:t>
            </w:r>
            <w:r>
              <w:rPr>
                <w:rFonts w:hint="eastAsia" w:ascii="宋体" w:hAnsi="宋体" w:eastAsia="宋体" w:cs="宋体"/>
                <w:color w:val="0000FF"/>
                <w:kern w:val="0"/>
                <w:sz w:val="24"/>
                <w:highlight w:val="none"/>
              </w:rPr>
              <w:t xml:space="preserve">       </w:t>
            </w:r>
            <w:r>
              <w:rPr>
                <w:rFonts w:hint="eastAsia" w:ascii="宋体" w:hAnsi="宋体" w:eastAsia="宋体" w:cs="宋体"/>
                <w:color w:val="auto"/>
                <w:kern w:val="0"/>
                <w:sz w:val="24"/>
                <w:highlight w:val="none"/>
              </w:rPr>
              <w:t xml:space="preserve">  </w:t>
            </w:r>
            <w:r>
              <w:rPr>
                <w:rFonts w:hint="eastAsia" w:ascii="宋体" w:hAnsi="宋体" w:eastAsia="宋体" w:cs="宋体"/>
                <w:color w:val="auto"/>
                <w:highlight w:val="none"/>
              </w:rPr>
              <w:t>(11-6)</w:t>
            </w:r>
          </w:p>
          <w:p>
            <w:pPr>
              <w:spacing w:line="360" w:lineRule="auto"/>
              <w:ind w:firstLine="1200" w:firstLineChars="500"/>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式中：</w:t>
            </w:r>
          </w:p>
          <w:p>
            <w:pPr>
              <w:spacing w:line="360" w:lineRule="auto"/>
              <w:ind w:firstLine="1200" w:firstLineChars="500"/>
              <w:rPr>
                <w:rFonts w:hint="eastAsia" w:ascii="宋体" w:hAnsi="宋体" w:eastAsia="宋体" w:cs="宋体"/>
                <w:color w:val="auto"/>
                <w:kern w:val="0"/>
                <w:sz w:val="24"/>
                <w:highlight w:val="none"/>
              </w:rPr>
            </w:pPr>
            <w:r>
              <w:rPr>
                <w:rFonts w:hint="eastAsia" w:ascii="宋体" w:hAnsi="宋体" w:eastAsia="宋体" w:cs="宋体"/>
                <w:i/>
                <w:iCs/>
                <w:color w:val="auto"/>
                <w:kern w:val="0"/>
                <w:sz w:val="24"/>
                <w:highlight w:val="none"/>
              </w:rPr>
              <w:t>α</w:t>
            </w:r>
            <w:r>
              <w:rPr>
                <w:rFonts w:hint="eastAsia" w:ascii="宋体" w:hAnsi="宋体" w:eastAsia="宋体" w:cs="宋体"/>
                <w:color w:val="auto"/>
                <w:kern w:val="0"/>
                <w:sz w:val="24"/>
                <w:highlight w:val="none"/>
                <w:vertAlign w:val="subscript"/>
              </w:rPr>
              <w:t>ph</w:t>
            </w:r>
            <w:r>
              <w:rPr>
                <w:rFonts w:hint="eastAsia" w:ascii="宋体" w:hAnsi="宋体" w:eastAsia="宋体" w:cs="宋体"/>
                <w:color w:val="auto"/>
                <w:kern w:val="0"/>
                <w:sz w:val="24"/>
                <w:highlight w:val="none"/>
              </w:rPr>
              <w:t>—患者400cm</w:t>
            </w:r>
            <w:r>
              <w:rPr>
                <w:rFonts w:hint="eastAsia" w:ascii="宋体" w:hAnsi="宋体" w:eastAsia="宋体" w:cs="宋体"/>
                <w:color w:val="auto"/>
                <w:kern w:val="0"/>
                <w:sz w:val="24"/>
                <w:highlight w:val="none"/>
                <w:vertAlign w:val="superscript"/>
              </w:rPr>
              <w:t>2</w:t>
            </w:r>
            <w:r>
              <w:rPr>
                <w:rFonts w:hint="eastAsia" w:ascii="宋体" w:hAnsi="宋体" w:eastAsia="宋体" w:cs="宋体"/>
                <w:color w:val="auto"/>
                <w:kern w:val="0"/>
                <w:sz w:val="24"/>
                <w:highlight w:val="none"/>
              </w:rPr>
              <w:t>面积上的散射因子；</w:t>
            </w:r>
          </w:p>
          <w:p>
            <w:pPr>
              <w:spacing w:line="360" w:lineRule="auto"/>
              <w:ind w:firstLine="1200" w:firstLineChars="500"/>
              <w:rPr>
                <w:rFonts w:hint="eastAsia" w:ascii="宋体" w:hAnsi="宋体" w:eastAsia="宋体" w:cs="宋体"/>
                <w:color w:val="auto"/>
                <w:kern w:val="0"/>
                <w:sz w:val="24"/>
                <w:highlight w:val="none"/>
              </w:rPr>
            </w:pPr>
            <w:r>
              <w:rPr>
                <w:rFonts w:hint="eastAsia" w:ascii="宋体" w:hAnsi="宋体" w:eastAsia="宋体" w:cs="宋体"/>
                <w:i/>
                <w:iCs/>
                <w:color w:val="auto"/>
                <w:kern w:val="0"/>
                <w:sz w:val="24"/>
                <w:highlight w:val="none"/>
              </w:rPr>
              <w:t>F</w:t>
            </w:r>
            <w:r>
              <w:rPr>
                <w:rFonts w:hint="eastAsia" w:ascii="宋体" w:hAnsi="宋体" w:eastAsia="宋体" w:cs="宋体"/>
                <w:color w:val="auto"/>
                <w:kern w:val="0"/>
                <w:sz w:val="24"/>
                <w:highlight w:val="none"/>
              </w:rPr>
              <w:t>—治疗装置有用束在等中心处的最大治疗野面积，cm</w:t>
            </w:r>
            <w:r>
              <w:rPr>
                <w:rFonts w:hint="eastAsia" w:ascii="宋体" w:hAnsi="宋体" w:eastAsia="宋体" w:cs="宋体"/>
                <w:color w:val="auto"/>
                <w:kern w:val="0"/>
                <w:sz w:val="24"/>
                <w:highlight w:val="none"/>
                <w:vertAlign w:val="superscript"/>
              </w:rPr>
              <w:t>2</w:t>
            </w:r>
            <w:r>
              <w:rPr>
                <w:rFonts w:hint="eastAsia" w:ascii="宋体" w:hAnsi="宋体" w:eastAsia="宋体" w:cs="宋体"/>
                <w:color w:val="auto"/>
                <w:kern w:val="0"/>
                <w:sz w:val="24"/>
                <w:highlight w:val="none"/>
              </w:rPr>
              <w:t>；</w:t>
            </w:r>
          </w:p>
          <w:p>
            <w:pPr>
              <w:spacing w:line="360" w:lineRule="auto"/>
              <w:ind w:firstLine="1200" w:firstLineChars="500"/>
              <w:rPr>
                <w:rFonts w:hint="eastAsia" w:ascii="宋体" w:hAnsi="宋体" w:eastAsia="宋体" w:cs="宋体"/>
                <w:color w:val="auto"/>
                <w:kern w:val="0"/>
                <w:sz w:val="24"/>
                <w:highlight w:val="none"/>
              </w:rPr>
            </w:pPr>
            <w:r>
              <w:rPr>
                <w:rFonts w:hint="eastAsia" w:ascii="宋体" w:hAnsi="宋体" w:eastAsia="宋体" w:cs="宋体"/>
                <w:i/>
                <w:iCs/>
                <w:color w:val="auto"/>
                <w:kern w:val="0"/>
                <w:sz w:val="24"/>
                <w:highlight w:val="none"/>
              </w:rPr>
              <w:t>α</w:t>
            </w:r>
            <w:r>
              <w:rPr>
                <w:rFonts w:hint="eastAsia" w:ascii="宋体" w:hAnsi="宋体" w:eastAsia="宋体" w:cs="宋体"/>
                <w:color w:val="auto"/>
                <w:kern w:val="0"/>
                <w:sz w:val="24"/>
                <w:highlight w:val="none"/>
                <w:vertAlign w:val="subscript"/>
              </w:rPr>
              <w:t>2</w:t>
            </w:r>
            <w:r>
              <w:rPr>
                <w:rFonts w:hint="eastAsia" w:ascii="宋体" w:hAnsi="宋体" w:eastAsia="宋体" w:cs="宋体"/>
                <w:color w:val="auto"/>
                <w:kern w:val="0"/>
                <w:sz w:val="24"/>
                <w:highlight w:val="none"/>
              </w:rPr>
              <w:t>—砼墙入射的患者散射辐射的散射因子，通常取入射角为45˚，散射角为0˚；</w:t>
            </w:r>
          </w:p>
          <w:p>
            <w:pPr>
              <w:spacing w:line="360" w:lineRule="auto"/>
              <w:ind w:firstLine="1200" w:firstLineChars="500"/>
              <w:rPr>
                <w:rFonts w:hint="eastAsia" w:ascii="宋体" w:hAnsi="宋体" w:eastAsia="宋体" w:cs="宋体"/>
                <w:color w:val="auto"/>
                <w:kern w:val="0"/>
                <w:sz w:val="24"/>
                <w:highlight w:val="none"/>
              </w:rPr>
            </w:pPr>
            <w:r>
              <w:rPr>
                <w:rFonts w:hint="eastAsia" w:ascii="宋体" w:hAnsi="宋体" w:eastAsia="宋体" w:cs="宋体"/>
                <w:i/>
                <w:iCs/>
                <w:color w:val="auto"/>
                <w:kern w:val="0"/>
                <w:sz w:val="24"/>
                <w:highlight w:val="none"/>
              </w:rPr>
              <w:t>A</w:t>
            </w:r>
            <w:r>
              <w:rPr>
                <w:rFonts w:hint="eastAsia" w:ascii="宋体" w:hAnsi="宋体" w:eastAsia="宋体" w:cs="宋体"/>
                <w:color w:val="auto"/>
                <w:kern w:val="0"/>
                <w:sz w:val="24"/>
                <w:highlight w:val="none"/>
              </w:rPr>
              <w:t>—散射面积，m</w:t>
            </w:r>
            <w:r>
              <w:rPr>
                <w:rFonts w:hint="eastAsia" w:ascii="宋体" w:hAnsi="宋体" w:eastAsia="宋体" w:cs="宋体"/>
                <w:color w:val="auto"/>
                <w:kern w:val="0"/>
                <w:sz w:val="24"/>
                <w:highlight w:val="none"/>
                <w:vertAlign w:val="superscript"/>
              </w:rPr>
              <w:t>2</w:t>
            </w:r>
            <w:r>
              <w:rPr>
                <w:rFonts w:hint="eastAsia" w:ascii="宋体" w:hAnsi="宋体" w:eastAsia="宋体" w:cs="宋体"/>
                <w:color w:val="auto"/>
                <w:kern w:val="0"/>
                <w:sz w:val="24"/>
                <w:highlight w:val="none"/>
              </w:rPr>
              <w:t>；</w:t>
            </w:r>
          </w:p>
          <w:p>
            <w:pPr>
              <w:spacing w:line="360" w:lineRule="auto"/>
              <w:ind w:firstLine="1200" w:firstLineChars="500"/>
              <w:rPr>
                <w:rFonts w:hint="eastAsia" w:ascii="宋体" w:hAnsi="宋体" w:eastAsia="宋体" w:cs="宋体"/>
                <w:color w:val="auto"/>
                <w:kern w:val="0"/>
                <w:sz w:val="24"/>
                <w:highlight w:val="none"/>
              </w:rPr>
            </w:pPr>
            <w:r>
              <w:rPr>
                <w:rFonts w:hint="eastAsia" w:ascii="宋体" w:hAnsi="宋体" w:eastAsia="宋体" w:cs="宋体"/>
                <w:i/>
                <w:iCs/>
                <w:color w:val="auto"/>
                <w:kern w:val="0"/>
                <w:sz w:val="24"/>
                <w:highlight w:val="none"/>
              </w:rPr>
              <w:t>R</w:t>
            </w:r>
            <w:r>
              <w:rPr>
                <w:rFonts w:hint="eastAsia" w:ascii="宋体" w:hAnsi="宋体" w:eastAsia="宋体" w:cs="宋体"/>
                <w:color w:val="auto"/>
                <w:kern w:val="0"/>
                <w:sz w:val="24"/>
                <w:highlight w:val="none"/>
                <w:vertAlign w:val="subscript"/>
              </w:rPr>
              <w:t>1</w:t>
            </w:r>
            <w:r>
              <w:rPr>
                <w:rFonts w:hint="eastAsia" w:ascii="宋体" w:hAnsi="宋体" w:eastAsia="宋体" w:cs="宋体"/>
                <w:color w:val="auto"/>
                <w:kern w:val="0"/>
                <w:sz w:val="24"/>
                <w:highlight w:val="none"/>
              </w:rPr>
              <w:t>—“o-i”之间的距离，m;</w:t>
            </w:r>
          </w:p>
          <w:p>
            <w:pPr>
              <w:spacing w:line="360" w:lineRule="auto"/>
              <w:ind w:firstLine="1200" w:firstLineChars="500"/>
              <w:rPr>
                <w:rFonts w:hint="eastAsia" w:ascii="宋体" w:hAnsi="宋体" w:eastAsia="宋体" w:cs="宋体"/>
                <w:color w:val="auto"/>
                <w:kern w:val="0"/>
                <w:sz w:val="24"/>
                <w:highlight w:val="none"/>
              </w:rPr>
            </w:pPr>
            <w:r>
              <w:rPr>
                <w:rFonts w:hint="eastAsia" w:ascii="宋体" w:hAnsi="宋体" w:eastAsia="宋体" w:cs="宋体"/>
                <w:i/>
                <w:iCs/>
                <w:color w:val="auto"/>
                <w:kern w:val="0"/>
                <w:sz w:val="24"/>
                <w:highlight w:val="none"/>
              </w:rPr>
              <w:t>R</w:t>
            </w:r>
            <w:r>
              <w:rPr>
                <w:rFonts w:hint="eastAsia" w:ascii="宋体" w:hAnsi="宋体" w:eastAsia="宋体" w:cs="宋体"/>
                <w:color w:val="auto"/>
                <w:kern w:val="0"/>
                <w:sz w:val="24"/>
                <w:highlight w:val="none"/>
                <w:vertAlign w:val="subscript"/>
              </w:rPr>
              <w:t>2</w:t>
            </w:r>
            <w:r>
              <w:rPr>
                <w:rFonts w:hint="eastAsia" w:ascii="宋体" w:hAnsi="宋体" w:eastAsia="宋体" w:cs="宋体"/>
                <w:color w:val="auto"/>
                <w:kern w:val="0"/>
                <w:sz w:val="24"/>
                <w:highlight w:val="none"/>
              </w:rPr>
              <w:t>—“i-g”之间的距离，m；</w:t>
            </w:r>
          </w:p>
          <w:p>
            <w:pPr>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 xml:space="preserve">     </w:t>
            </w:r>
            <w:r>
              <w:rPr>
                <w:rFonts w:hint="eastAsia" w:ascii="宋体" w:hAnsi="宋体" w:eastAsia="宋体" w:cs="宋体"/>
                <w:color w:val="auto"/>
                <w:highlight w:val="none"/>
              </w:rPr>
              <w:drawing>
                <wp:inline distT="0" distB="0" distL="0" distR="0">
                  <wp:extent cx="238760" cy="27432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238760" cy="274320"/>
                          </a:xfrm>
                          <a:prstGeom prst="rect">
                            <a:avLst/>
                          </a:prstGeom>
                          <a:noFill/>
                          <a:ln>
                            <a:noFill/>
                          </a:ln>
                        </pic:spPr>
                      </pic:pic>
                    </a:graphicData>
                  </a:graphic>
                </wp:inline>
              </w:drawing>
            </w:r>
            <w:r>
              <w:rPr>
                <w:rFonts w:hint="eastAsia" w:ascii="宋体" w:hAnsi="宋体" w:eastAsia="宋体" w:cs="宋体"/>
                <w:color w:val="auto"/>
                <w:kern w:val="0"/>
                <w:sz w:val="24"/>
                <w:highlight w:val="none"/>
              </w:rPr>
              <w:t>—距靶1m处的最高剂量率；</w:t>
            </w:r>
          </w:p>
          <w:p>
            <w:pPr>
              <w:spacing w:line="360" w:lineRule="auto"/>
              <w:ind w:firstLine="960" w:firstLineChars="400"/>
              <w:rPr>
                <w:rFonts w:hint="eastAsia" w:ascii="宋体" w:hAnsi="宋体" w:eastAsia="宋体" w:cs="宋体"/>
                <w:color w:val="auto"/>
                <w:sz w:val="24"/>
                <w:highlight w:val="none"/>
              </w:rPr>
            </w:pPr>
            <w:r>
              <w:rPr>
                <w:rFonts w:hint="eastAsia" w:ascii="宋体" w:hAnsi="宋体" w:eastAsia="宋体" w:cs="宋体"/>
                <w:color w:val="auto"/>
                <w:kern w:val="0"/>
                <w:sz w:val="24"/>
                <w:highlight w:val="none"/>
              </w:rPr>
              <w:t>④</w:t>
            </w:r>
            <w:r>
              <w:rPr>
                <w:rFonts w:hint="eastAsia" w:ascii="宋体" w:hAnsi="宋体" w:eastAsia="宋体" w:cs="宋体"/>
                <w:color w:val="auto"/>
                <w:sz w:val="24"/>
                <w:highlight w:val="none"/>
              </w:rPr>
              <w:t>散射辐射和穿过迷路内墙的泄漏辐射经防护门（</w:t>
            </w:r>
            <w:r>
              <w:rPr>
                <w:rFonts w:hint="eastAsia" w:ascii="宋体" w:hAnsi="宋体" w:eastAsia="宋体" w:cs="宋体"/>
                <w:color w:val="auto"/>
                <w:sz w:val="24"/>
                <w:highlight w:val="none"/>
                <w:lang w:val="en-US" w:eastAsia="zh-CN"/>
              </w:rPr>
              <w:t>20</w:t>
            </w:r>
            <w:r>
              <w:rPr>
                <w:rFonts w:hint="eastAsia" w:ascii="宋体" w:hAnsi="宋体" w:eastAsia="宋体" w:cs="宋体"/>
                <w:color w:val="auto"/>
                <w:sz w:val="24"/>
                <w:highlight w:val="none"/>
              </w:rPr>
              <w:t>mmPb）屏蔽后的H</w:t>
            </w:r>
            <w:r>
              <w:rPr>
                <w:rFonts w:hint="eastAsia" w:ascii="宋体" w:hAnsi="宋体" w:eastAsia="宋体" w:cs="宋体"/>
                <w:color w:val="auto"/>
                <w:sz w:val="24"/>
                <w:highlight w:val="none"/>
                <w:vertAlign w:val="subscript"/>
              </w:rPr>
              <w:t>h</w:t>
            </w:r>
            <w:r>
              <w:rPr>
                <w:rFonts w:hint="eastAsia" w:ascii="宋体" w:hAnsi="宋体" w:eastAsia="宋体" w:cs="宋体"/>
                <w:color w:val="auto"/>
                <w:sz w:val="24"/>
                <w:highlight w:val="none"/>
              </w:rPr>
              <w:t>（H点）辐射剂量率计算如下（散射能量约0.2MeV）：</w:t>
            </w:r>
          </w:p>
          <w:p>
            <w:pPr>
              <w:pStyle w:val="25"/>
              <w:jc w:val="center"/>
              <w:rPr>
                <w:rFonts w:hint="eastAsia" w:ascii="宋体" w:hAnsi="宋体" w:eastAsia="宋体" w:cs="宋体"/>
                <w:color w:val="auto"/>
                <w:highlight w:val="none"/>
              </w:rPr>
            </w:pPr>
            <w:r>
              <w:rPr>
                <w:rFonts w:hint="eastAsia" w:ascii="宋体" w:hAnsi="宋体" w:eastAsia="宋体" w:cs="宋体"/>
                <w:color w:val="auto"/>
                <w:highlight w:val="none"/>
              </w:rPr>
              <w:t>H</w:t>
            </w:r>
            <w:r>
              <w:rPr>
                <w:rFonts w:hint="eastAsia" w:ascii="宋体" w:hAnsi="宋体" w:eastAsia="宋体" w:cs="宋体"/>
                <w:color w:val="auto"/>
                <w:highlight w:val="none"/>
                <w:vertAlign w:val="subscript"/>
              </w:rPr>
              <w:t>h</w:t>
            </w:r>
            <w:r>
              <w:rPr>
                <w:rFonts w:hint="eastAsia" w:ascii="宋体" w:hAnsi="宋体" w:eastAsia="宋体" w:cs="宋体"/>
                <w:color w:val="auto"/>
                <w:highlight w:val="none"/>
                <w:vertAlign w:val="subscript"/>
              </w:rPr>
              <w:tab/>
            </w:r>
            <w:r>
              <w:rPr>
                <w:rFonts w:hint="eastAsia" w:ascii="宋体" w:hAnsi="宋体" w:eastAsia="宋体" w:cs="宋体"/>
                <w:color w:val="auto"/>
                <w:highlight w:val="none"/>
                <w:vertAlign w:val="subscript"/>
              </w:rPr>
              <w:t>=</w:t>
            </w:r>
            <w:r>
              <w:rPr>
                <w:rFonts w:hint="eastAsia" w:ascii="宋体" w:hAnsi="宋体" w:eastAsia="宋体" w:cs="宋体"/>
                <w:color w:val="auto"/>
                <w:highlight w:val="none"/>
              </w:rPr>
              <w:t>H</w:t>
            </w:r>
            <w:r>
              <w:rPr>
                <w:rFonts w:hint="eastAsia" w:ascii="宋体" w:hAnsi="宋体" w:eastAsia="宋体" w:cs="宋体"/>
                <w:color w:val="auto"/>
                <w:highlight w:val="none"/>
                <w:vertAlign w:val="subscript"/>
              </w:rPr>
              <w:t>g·</w:t>
            </w:r>
            <w:r>
              <w:rPr>
                <w:rFonts w:hint="eastAsia" w:ascii="宋体" w:hAnsi="宋体" w:eastAsia="宋体" w:cs="宋体"/>
                <w:color w:val="auto"/>
                <w:highlight w:val="none"/>
              </w:rPr>
              <w:t>10</w:t>
            </w:r>
            <w:r>
              <w:rPr>
                <w:rFonts w:hint="eastAsia" w:ascii="宋体" w:hAnsi="宋体" w:eastAsia="宋体" w:cs="宋体"/>
                <w:color w:val="auto"/>
                <w:highlight w:val="none"/>
                <w:vertAlign w:val="superscript"/>
              </w:rPr>
              <w:t>-X/TVL</w:t>
            </w:r>
            <w:r>
              <w:rPr>
                <w:rFonts w:hint="eastAsia" w:ascii="宋体" w:hAnsi="宋体" w:eastAsia="宋体" w:cs="宋体"/>
                <w:color w:val="auto"/>
                <w:highlight w:val="none"/>
              </w:rPr>
              <w:t>+H</w:t>
            </w:r>
            <w:r>
              <w:rPr>
                <w:rFonts w:hint="eastAsia" w:ascii="宋体" w:hAnsi="宋体" w:eastAsia="宋体" w:cs="宋体"/>
                <w:color w:val="auto"/>
                <w:highlight w:val="none"/>
                <w:vertAlign w:val="subscript"/>
              </w:rPr>
              <w:t xml:space="preserve">og      </w:t>
            </w:r>
            <w:r>
              <w:rPr>
                <w:rFonts w:hint="eastAsia" w:ascii="宋体" w:hAnsi="宋体" w:eastAsia="宋体" w:cs="宋体"/>
                <w:color w:val="auto"/>
                <w:highlight w:val="none"/>
              </w:rPr>
              <w:t>（11-7）</w:t>
            </w:r>
          </w:p>
          <w:p>
            <w:pPr>
              <w:spacing w:line="360" w:lineRule="auto"/>
              <w:ind w:firstLine="480"/>
              <w:rPr>
                <w:rFonts w:hint="eastAsia" w:ascii="宋体" w:hAnsi="宋体" w:eastAsia="宋体" w:cs="宋体"/>
                <w:color w:val="auto"/>
                <w:highlight w:val="none"/>
              </w:rPr>
            </w:pPr>
            <w:r>
              <w:rPr>
                <w:rFonts w:hint="eastAsia" w:ascii="宋体" w:hAnsi="宋体" w:eastAsia="宋体" w:cs="宋体"/>
                <w:color w:val="auto"/>
                <w:highlight w:val="none"/>
              </w:rPr>
              <w:t>TVLpb—取5mm，The TVL for scattered and leakage photons (HTot)varies between 3 and 6 mm of lead depending on the maze length(McGinley，2002)。</w:t>
            </w:r>
          </w:p>
          <w:p>
            <w:pPr>
              <w:numPr>
                <w:ilvl w:val="0"/>
                <w:numId w:val="0"/>
              </w:numPr>
              <w:spacing w:line="360" w:lineRule="auto"/>
              <w:jc w:val="center"/>
              <w:rPr>
                <w:rFonts w:hint="eastAsia" w:ascii="宋体" w:hAnsi="宋体" w:eastAsia="宋体" w:cs="宋体"/>
                <w:color w:val="0000FF"/>
                <w:sz w:val="24"/>
                <w:highlight w:val="none"/>
              </w:rPr>
            </w:pPr>
            <w:r>
              <w:drawing>
                <wp:inline distT="0" distB="0" distL="114300" distR="114300">
                  <wp:extent cx="5534025" cy="5132705"/>
                  <wp:effectExtent l="0" t="0" r="9525" b="10795"/>
                  <wp:docPr id="111"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48"/>
                          <pic:cNvPicPr>
                            <a:picLocks noChangeAspect="1"/>
                          </pic:cNvPicPr>
                        </pic:nvPicPr>
                        <pic:blipFill>
                          <a:blip r:embed="rId47"/>
                          <a:stretch>
                            <a:fillRect/>
                          </a:stretch>
                        </pic:blipFill>
                        <pic:spPr>
                          <a:xfrm>
                            <a:off x="0" y="0"/>
                            <a:ext cx="5534025" cy="5132705"/>
                          </a:xfrm>
                          <a:prstGeom prst="rect">
                            <a:avLst/>
                          </a:prstGeom>
                          <a:noFill/>
                          <a:ln>
                            <a:noFill/>
                          </a:ln>
                        </pic:spPr>
                      </pic:pic>
                    </a:graphicData>
                  </a:graphic>
                </wp:inline>
              </w:drawing>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1）</w:t>
            </w:r>
            <w:r>
              <w:rPr>
                <w:rFonts w:hint="eastAsia" w:ascii="宋体" w:hAnsi="宋体" w:eastAsia="宋体" w:cs="宋体"/>
                <w:color w:val="auto"/>
                <w:sz w:val="24"/>
                <w:highlight w:val="none"/>
              </w:rPr>
              <w:t>平面预测点位</w:t>
            </w:r>
          </w:p>
          <w:p>
            <w:pPr>
              <w:spacing w:line="360" w:lineRule="auto"/>
              <w:jc w:val="center"/>
              <w:rPr>
                <w:rFonts w:hint="eastAsia" w:ascii="宋体" w:hAnsi="宋体" w:eastAsia="宋体" w:cs="宋体"/>
              </w:rPr>
            </w:pPr>
            <w:r>
              <w:drawing>
                <wp:inline distT="0" distB="0" distL="114300" distR="114300">
                  <wp:extent cx="5532120" cy="3523615"/>
                  <wp:effectExtent l="0" t="0" r="11430" b="635"/>
                  <wp:docPr id="116"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49"/>
                          <pic:cNvPicPr>
                            <a:picLocks noChangeAspect="1"/>
                          </pic:cNvPicPr>
                        </pic:nvPicPr>
                        <pic:blipFill>
                          <a:blip r:embed="rId48"/>
                          <a:stretch>
                            <a:fillRect/>
                          </a:stretch>
                        </pic:blipFill>
                        <pic:spPr>
                          <a:xfrm>
                            <a:off x="0" y="0"/>
                            <a:ext cx="5532120" cy="3523615"/>
                          </a:xfrm>
                          <a:prstGeom prst="rect">
                            <a:avLst/>
                          </a:prstGeom>
                          <a:noFill/>
                          <a:ln>
                            <a:noFill/>
                          </a:ln>
                        </pic:spPr>
                      </pic:pic>
                    </a:graphicData>
                  </a:graphic>
                </wp:inline>
              </w:drawing>
            </w:r>
          </w:p>
          <w:p>
            <w:pPr>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2</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立面预测</w:t>
            </w:r>
            <w:r>
              <w:rPr>
                <w:rFonts w:hint="eastAsia" w:ascii="宋体" w:hAnsi="宋体" w:eastAsia="宋体" w:cs="宋体"/>
                <w:color w:val="auto"/>
                <w:sz w:val="24"/>
                <w:highlight w:val="none"/>
              </w:rPr>
              <w:t>点位</w:t>
            </w:r>
          </w:p>
          <w:p>
            <w:pPr>
              <w:spacing w:line="360" w:lineRule="auto"/>
              <w:jc w:val="center"/>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图11-</w:t>
            </w:r>
            <w:r>
              <w:rPr>
                <w:rFonts w:hint="eastAsia" w:ascii="宋体" w:hAnsi="宋体" w:eastAsia="宋体" w:cs="宋体"/>
                <w:b/>
                <w:bCs/>
                <w:color w:val="auto"/>
                <w:sz w:val="21"/>
                <w:szCs w:val="21"/>
                <w:highlight w:val="none"/>
                <w:lang w:val="en-US" w:eastAsia="zh-CN"/>
              </w:rPr>
              <w:t>1</w:t>
            </w:r>
            <w:r>
              <w:rPr>
                <w:rFonts w:hint="eastAsia" w:ascii="宋体" w:hAnsi="宋体" w:eastAsia="宋体" w:cs="宋体"/>
                <w:b/>
                <w:bCs/>
                <w:color w:val="auto"/>
                <w:sz w:val="21"/>
                <w:szCs w:val="21"/>
                <w:highlight w:val="none"/>
              </w:rPr>
              <w:t xml:space="preserve"> 预测点位示意图</w:t>
            </w:r>
          </w:p>
          <w:p>
            <w:pPr>
              <w:spacing w:line="360" w:lineRule="auto"/>
              <w:ind w:firstLine="480" w:firstLineChars="200"/>
              <w:jc w:val="left"/>
              <w:rPr>
                <w:rFonts w:hint="eastAsia" w:ascii="宋体" w:hAnsi="宋体" w:eastAsia="宋体" w:cs="宋体"/>
                <w:iCs/>
                <w:color w:val="auto"/>
                <w:kern w:val="0"/>
                <w:sz w:val="24"/>
                <w:highlight w:val="none"/>
              </w:rPr>
            </w:pPr>
            <w:r>
              <w:rPr>
                <w:rFonts w:hint="eastAsia" w:ascii="宋体" w:hAnsi="宋体" w:eastAsia="宋体" w:cs="宋体"/>
                <w:iCs/>
                <w:color w:val="auto"/>
                <w:kern w:val="0"/>
                <w:sz w:val="24"/>
                <w:highlight w:val="none"/>
              </w:rPr>
              <w:t>⑦工作负荷与照射时间</w:t>
            </w:r>
          </w:p>
          <w:p>
            <w:pPr>
              <w:spacing w:line="360" w:lineRule="auto"/>
              <w:ind w:firstLine="480" w:firstLineChars="200"/>
              <w:jc w:val="left"/>
              <w:rPr>
                <w:rFonts w:hint="eastAsia" w:ascii="宋体" w:hAnsi="宋体" w:eastAsia="宋体" w:cs="宋体"/>
                <w:iCs/>
                <w:color w:val="auto"/>
                <w:kern w:val="0"/>
                <w:sz w:val="24"/>
                <w:highlight w:val="none"/>
              </w:rPr>
            </w:pPr>
            <w:r>
              <w:rPr>
                <w:rFonts w:hint="eastAsia" w:ascii="宋体" w:hAnsi="宋体" w:eastAsia="宋体" w:cs="宋体"/>
                <w:iCs/>
                <w:color w:val="auto"/>
                <w:kern w:val="0"/>
                <w:sz w:val="24"/>
                <w:highlight w:val="none"/>
              </w:rPr>
              <w:t>项目运行后，</w:t>
            </w:r>
            <w:r>
              <w:rPr>
                <w:rFonts w:hint="eastAsia" w:ascii="宋体" w:hAnsi="宋体" w:eastAsia="宋体" w:cs="宋体"/>
                <w:iCs/>
                <w:color w:val="auto"/>
                <w:kern w:val="0"/>
                <w:sz w:val="24"/>
                <w:highlight w:val="none"/>
                <w:lang w:val="en-US" w:eastAsia="zh-CN"/>
              </w:rPr>
              <w:t>预</w:t>
            </w:r>
            <w:r>
              <w:rPr>
                <w:rFonts w:hint="eastAsia" w:ascii="宋体" w:hAnsi="宋体" w:eastAsia="宋体" w:cs="宋体"/>
                <w:color w:val="auto"/>
                <w:sz w:val="24"/>
                <w:highlight w:val="none"/>
                <w:lang w:val="en-US" w:eastAsia="zh-CN"/>
              </w:rPr>
              <w:t>计每台</w:t>
            </w:r>
            <w:r>
              <w:rPr>
                <w:rFonts w:hint="eastAsia" w:ascii="宋体" w:hAnsi="宋体" w:eastAsia="宋体" w:cs="宋体"/>
                <w:color w:val="auto"/>
                <w:sz w:val="24"/>
                <w:highlight w:val="none"/>
              </w:rPr>
              <w:t>直线加速器每周的治疗时间</w:t>
            </w:r>
            <w:r>
              <w:rPr>
                <w:rFonts w:hint="eastAsia" w:ascii="宋体" w:hAnsi="宋体" w:eastAsia="宋体" w:cs="宋体"/>
                <w:color w:val="auto"/>
                <w:sz w:val="24"/>
                <w:highlight w:val="none"/>
                <w:lang w:val="en-US" w:eastAsia="zh-CN"/>
              </w:rPr>
              <w:t>不超过20</w:t>
            </w:r>
            <w:r>
              <w:rPr>
                <w:rFonts w:hint="eastAsia" w:ascii="宋体" w:hAnsi="宋体" w:eastAsia="宋体" w:cs="宋体"/>
                <w:color w:val="auto"/>
                <w:sz w:val="24"/>
                <w:highlight w:val="none"/>
              </w:rPr>
              <w:t>小时，全年工作5</w:t>
            </w:r>
            <w:r>
              <w:rPr>
                <w:rFonts w:hint="eastAsia" w:ascii="宋体" w:hAnsi="宋体" w:eastAsia="宋体" w:cs="宋体"/>
                <w:color w:val="auto"/>
                <w:sz w:val="24"/>
                <w:highlight w:val="none"/>
                <w:lang w:val="en-US" w:eastAsia="zh-CN"/>
              </w:rPr>
              <w:t>2</w:t>
            </w:r>
            <w:r>
              <w:rPr>
                <w:rFonts w:hint="eastAsia" w:ascii="宋体" w:hAnsi="宋体" w:eastAsia="宋体" w:cs="宋体"/>
                <w:color w:val="auto"/>
                <w:sz w:val="24"/>
                <w:highlight w:val="none"/>
              </w:rPr>
              <w:t>周，则全年照射</w:t>
            </w:r>
            <w:r>
              <w:rPr>
                <w:rFonts w:hint="eastAsia" w:ascii="宋体" w:hAnsi="宋体" w:eastAsia="宋体" w:cs="宋体"/>
                <w:color w:val="auto"/>
                <w:sz w:val="24"/>
                <w:highlight w:val="none"/>
                <w:lang w:val="en-US" w:eastAsia="zh-CN"/>
              </w:rPr>
              <w:t>最大</w:t>
            </w:r>
            <w:r>
              <w:rPr>
                <w:rFonts w:hint="eastAsia" w:ascii="宋体" w:hAnsi="宋体" w:eastAsia="宋体" w:cs="宋体"/>
                <w:color w:val="auto"/>
                <w:sz w:val="24"/>
                <w:highlight w:val="none"/>
              </w:rPr>
              <w:t>时间t为</w:t>
            </w:r>
            <w:r>
              <w:rPr>
                <w:rFonts w:hint="eastAsia" w:ascii="宋体" w:hAnsi="宋体" w:eastAsia="宋体" w:cs="宋体"/>
                <w:color w:val="auto"/>
                <w:sz w:val="24"/>
                <w:highlight w:val="none"/>
                <w:lang w:val="en-US" w:eastAsia="zh-CN"/>
              </w:rPr>
              <w:t>1040</w:t>
            </w:r>
            <w:r>
              <w:rPr>
                <w:rFonts w:hint="eastAsia" w:ascii="宋体" w:hAnsi="宋体" w:eastAsia="宋体" w:cs="宋体"/>
                <w:color w:val="auto"/>
                <w:sz w:val="24"/>
                <w:highlight w:val="none"/>
              </w:rPr>
              <w:t>小时</w:t>
            </w:r>
            <w:r>
              <w:rPr>
                <w:rFonts w:hint="eastAsia" w:ascii="宋体" w:hAnsi="宋体" w:eastAsia="宋体" w:cs="宋体"/>
                <w:iCs/>
                <w:color w:val="auto"/>
                <w:kern w:val="0"/>
                <w:sz w:val="24"/>
                <w:highlight w:val="none"/>
              </w:rPr>
              <w:t>。</w:t>
            </w:r>
          </w:p>
          <w:p>
            <w:pPr>
              <w:spacing w:line="360" w:lineRule="auto"/>
              <w:ind w:firstLine="480" w:firstLineChars="200"/>
              <w:jc w:val="left"/>
              <w:rPr>
                <w:rFonts w:hint="eastAsia" w:ascii="宋体" w:hAnsi="宋体" w:eastAsia="宋体" w:cs="宋体"/>
                <w:iCs/>
                <w:color w:val="auto"/>
                <w:kern w:val="0"/>
                <w:sz w:val="24"/>
                <w:highlight w:val="none"/>
              </w:rPr>
            </w:pPr>
            <w:r>
              <w:rPr>
                <w:rFonts w:hint="eastAsia" w:ascii="宋体" w:hAnsi="宋体" w:eastAsia="宋体" w:cs="宋体"/>
                <w:iCs/>
                <w:color w:val="auto"/>
                <w:kern w:val="0"/>
                <w:sz w:val="24"/>
                <w:highlight w:val="none"/>
              </w:rPr>
              <w:t>⑧预测相关参数选取及计算结果</w:t>
            </w:r>
          </w:p>
          <w:p>
            <w:pPr>
              <w:spacing w:line="360" w:lineRule="auto"/>
              <w:ind w:firstLine="480" w:firstLineChars="200"/>
              <w:jc w:val="left"/>
              <w:rPr>
                <w:rFonts w:hint="eastAsia" w:ascii="宋体" w:hAnsi="宋体" w:eastAsia="宋体" w:cs="宋体"/>
                <w:iCs/>
                <w:color w:val="auto"/>
                <w:kern w:val="0"/>
                <w:sz w:val="24"/>
                <w:highlight w:val="none"/>
              </w:rPr>
            </w:pPr>
            <w:r>
              <w:rPr>
                <w:rFonts w:hint="eastAsia" w:ascii="宋体" w:hAnsi="宋体" w:eastAsia="宋体" w:cs="宋体"/>
                <w:iCs/>
                <w:color w:val="auto"/>
                <w:kern w:val="0"/>
                <w:sz w:val="24"/>
                <w:highlight w:val="none"/>
              </w:rPr>
              <w:t>见表11-</w:t>
            </w:r>
            <w:r>
              <w:rPr>
                <w:rFonts w:hint="eastAsia" w:ascii="宋体" w:hAnsi="宋体" w:eastAsia="宋体" w:cs="宋体"/>
                <w:iCs/>
                <w:color w:val="auto"/>
                <w:kern w:val="0"/>
                <w:sz w:val="24"/>
                <w:highlight w:val="none"/>
                <w:lang w:val="en-US" w:eastAsia="zh-CN"/>
              </w:rPr>
              <w:t>4</w:t>
            </w:r>
            <w:r>
              <w:rPr>
                <w:rFonts w:hint="eastAsia" w:ascii="宋体" w:hAnsi="宋体" w:eastAsia="宋体" w:cs="宋体"/>
                <w:iCs/>
                <w:color w:val="auto"/>
                <w:kern w:val="0"/>
                <w:sz w:val="24"/>
                <w:highlight w:val="none"/>
              </w:rPr>
              <w:t>。</w:t>
            </w:r>
          </w:p>
          <w:p>
            <w:pPr>
              <w:spacing w:line="360" w:lineRule="auto"/>
              <w:ind w:firstLine="480" w:firstLineChars="200"/>
              <w:jc w:val="left"/>
              <w:rPr>
                <w:rFonts w:hint="eastAsia" w:ascii="宋体" w:hAnsi="宋体" w:eastAsia="宋体" w:cs="宋体"/>
                <w:iCs/>
                <w:color w:val="auto"/>
                <w:kern w:val="0"/>
                <w:sz w:val="24"/>
                <w:highlight w:val="none"/>
              </w:rPr>
            </w:pPr>
            <w:r>
              <w:rPr>
                <w:rFonts w:hint="eastAsia" w:ascii="宋体" w:hAnsi="宋体" w:eastAsia="宋体" w:cs="宋体"/>
                <w:iCs/>
                <w:color w:val="auto"/>
                <w:kern w:val="0"/>
                <w:sz w:val="24"/>
                <w:highlight w:val="none"/>
              </w:rPr>
              <w:t>防护门外的辐射剂量率按公式11-8计算：</w:t>
            </w:r>
          </w:p>
          <w:p>
            <w:pPr>
              <w:spacing w:line="360" w:lineRule="auto"/>
              <w:jc w:val="center"/>
              <w:rPr>
                <w:rFonts w:hint="eastAsia" w:ascii="宋体" w:hAnsi="宋体" w:eastAsia="宋体" w:cs="宋体"/>
                <w:color w:val="auto"/>
                <w:highlight w:val="none"/>
              </w:rPr>
            </w:pPr>
            <w:r>
              <w:rPr>
                <w:rFonts w:hint="eastAsia" w:ascii="宋体" w:hAnsi="宋体" w:eastAsia="宋体" w:cs="宋体"/>
                <w:color w:val="auto"/>
                <w:kern w:val="0"/>
                <w:position w:val="-32"/>
                <w:sz w:val="24"/>
                <w:highlight w:val="none"/>
              </w:rPr>
              <w:object>
                <v:shape id="_x0000_i1040" o:spt="75" type="#_x0000_t75" style="height:25.9pt;width:145.9pt;" o:ole="t" filled="f" o:preferrelative="t" stroked="f" coordsize="21600,21600">
                  <v:path/>
                  <v:fill on="f" focussize="0,0"/>
                  <v:stroke on="f" joinstyle="miter"/>
                  <v:imagedata r:id="rId50" o:title=""/>
                  <o:lock v:ext="edit" aspectratio="t"/>
                  <w10:wrap type="none"/>
                  <w10:anchorlock/>
                </v:shape>
                <o:OLEObject Type="Embed" ProgID="Equations" ShapeID="_x0000_i1040" DrawAspect="Content" ObjectID="_1468075740" r:id="rId49">
                  <o:LockedField>false</o:LockedField>
                </o:OLEObject>
              </w:object>
            </w:r>
            <w:r>
              <w:rPr>
                <w:rFonts w:hint="eastAsia" w:ascii="宋体" w:hAnsi="宋体" w:eastAsia="宋体" w:cs="宋体"/>
                <w:color w:val="auto"/>
                <w:kern w:val="0"/>
                <w:position w:val="-32"/>
                <w:sz w:val="24"/>
                <w:highlight w:val="none"/>
              </w:rPr>
              <w:t xml:space="preserve">       </w:t>
            </w:r>
            <w:r>
              <w:rPr>
                <w:rFonts w:hint="eastAsia" w:ascii="宋体" w:hAnsi="宋体" w:eastAsia="宋体" w:cs="宋体"/>
                <w:color w:val="auto"/>
                <w:highlight w:val="none"/>
              </w:rPr>
              <w:t>(11-8)</w:t>
            </w:r>
          </w:p>
          <w:p>
            <w:pPr>
              <w:spacing w:line="360" w:lineRule="auto"/>
              <w:ind w:firstLine="420"/>
              <w:rPr>
                <w:rFonts w:hint="eastAsia" w:ascii="宋体" w:hAnsi="宋体" w:eastAsia="宋体" w:cs="宋体"/>
                <w:color w:val="auto"/>
                <w:kern w:val="0"/>
                <w:sz w:val="24"/>
                <w:highlight w:val="none"/>
              </w:rPr>
            </w:pPr>
            <w:r>
              <w:rPr>
                <w:rFonts w:hint="eastAsia" w:ascii="宋体" w:hAnsi="宋体" w:eastAsia="宋体" w:cs="宋体"/>
                <w:color w:val="auto"/>
                <w:highlight w:val="none"/>
              </w:rPr>
              <w:t>式中：</w:t>
            </w:r>
            <w:r>
              <w:rPr>
                <w:rFonts w:hint="eastAsia" w:ascii="宋体" w:hAnsi="宋体" w:eastAsia="宋体" w:cs="宋体"/>
                <w:color w:val="auto"/>
                <w:position w:val="-10"/>
                <w:highlight w:val="none"/>
              </w:rPr>
              <w:object>
                <v:shape id="_x0000_i1041" o:spt="75" type="#_x0000_t75" style="height:24pt;width:19.9pt;" o:ole="t" filled="f" o:preferrelative="t" stroked="f" coordsize="21600,21600">
                  <v:path/>
                  <v:fill on="f" focussize="0,0"/>
                  <v:stroke on="f" joinstyle="miter"/>
                  <v:imagedata r:id="rId52" o:title=""/>
                  <o:lock v:ext="edit" aspectratio="t"/>
                  <w10:wrap type="none"/>
                  <w10:anchorlock/>
                </v:shape>
                <o:OLEObject Type="Embed" ProgID="Equation.KSEE3" ShapeID="_x0000_i1041" DrawAspect="Content" ObjectID="_1468075741" r:id="rId51">
                  <o:LockedField>false</o:LockedField>
                </o:OLEObject>
              </w:object>
            </w:r>
            <w:r>
              <w:rPr>
                <w:rFonts w:hint="eastAsia" w:ascii="宋体" w:hAnsi="宋体" w:eastAsia="宋体" w:cs="宋体"/>
                <w:color w:val="auto"/>
                <w:kern w:val="0"/>
                <w:sz w:val="24"/>
                <w:highlight w:val="none"/>
              </w:rPr>
              <w:t>—g处散射辐射剂量率，μSv·h</w:t>
            </w:r>
            <w:r>
              <w:rPr>
                <w:rFonts w:hint="eastAsia" w:ascii="宋体" w:hAnsi="宋体" w:eastAsia="宋体" w:cs="宋体"/>
                <w:color w:val="auto"/>
                <w:kern w:val="0"/>
                <w:sz w:val="24"/>
                <w:highlight w:val="none"/>
                <w:vertAlign w:val="superscript"/>
              </w:rPr>
              <w:t>-1</w:t>
            </w:r>
            <w:r>
              <w:rPr>
                <w:rFonts w:hint="eastAsia" w:ascii="宋体" w:hAnsi="宋体" w:eastAsia="宋体" w:cs="宋体"/>
                <w:color w:val="auto"/>
                <w:kern w:val="0"/>
                <w:sz w:val="24"/>
                <w:highlight w:val="none"/>
              </w:rPr>
              <w:t xml:space="preserve">； </w:t>
            </w:r>
          </w:p>
          <w:p>
            <w:pPr>
              <w:spacing w:line="360" w:lineRule="auto"/>
              <w:ind w:firstLine="420"/>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 xml:space="preserve">      </w:t>
            </w:r>
            <w:r>
              <w:rPr>
                <w:rFonts w:hint="eastAsia" w:ascii="宋体" w:hAnsi="宋体" w:eastAsia="宋体" w:cs="宋体"/>
                <w:i/>
                <w:iCs/>
                <w:color w:val="auto"/>
                <w:kern w:val="0"/>
                <w:sz w:val="24"/>
                <w:highlight w:val="none"/>
              </w:rPr>
              <w:t>X</w:t>
            </w:r>
            <w:r>
              <w:rPr>
                <w:rFonts w:hint="eastAsia" w:ascii="宋体" w:hAnsi="宋体" w:eastAsia="宋体" w:cs="宋体"/>
                <w:color w:val="auto"/>
                <w:kern w:val="0"/>
                <w:sz w:val="24"/>
                <w:highlight w:val="none"/>
              </w:rPr>
              <w:t>—防护门的铅屏蔽厚度，cm；</w:t>
            </w:r>
          </w:p>
          <w:p>
            <w:pPr>
              <w:spacing w:line="360" w:lineRule="auto"/>
              <w:ind w:firstLine="420"/>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 xml:space="preserve">      </w:t>
            </w:r>
            <w:r>
              <w:rPr>
                <w:rFonts w:hint="eastAsia" w:ascii="宋体" w:hAnsi="宋体" w:eastAsia="宋体" w:cs="宋体"/>
                <w:i/>
                <w:iCs/>
                <w:color w:val="auto"/>
                <w:kern w:val="0"/>
                <w:sz w:val="24"/>
                <w:highlight w:val="none"/>
              </w:rPr>
              <w:t>TVL</w:t>
            </w:r>
            <w:r>
              <w:rPr>
                <w:rFonts w:hint="eastAsia" w:ascii="宋体" w:hAnsi="宋体" w:eastAsia="宋体" w:cs="宋体"/>
                <w:color w:val="auto"/>
                <w:kern w:val="0"/>
                <w:sz w:val="24"/>
                <w:highlight w:val="none"/>
              </w:rPr>
              <w:t>—0.5，cm；</w:t>
            </w:r>
          </w:p>
          <w:p>
            <w:pPr>
              <w:spacing w:line="360" w:lineRule="auto"/>
              <w:ind w:firstLine="420"/>
              <w:rPr>
                <w:rFonts w:hint="eastAsia" w:ascii="宋体" w:hAnsi="宋体" w:eastAsia="宋体" w:cs="宋体"/>
                <w:iCs/>
                <w:color w:val="auto"/>
                <w:kern w:val="0"/>
                <w:sz w:val="24"/>
                <w:highlight w:val="none"/>
              </w:rPr>
            </w:pPr>
            <w:r>
              <w:rPr>
                <w:rFonts w:hint="eastAsia" w:ascii="宋体" w:hAnsi="宋体" w:eastAsia="宋体" w:cs="宋体"/>
                <w:color w:val="auto"/>
                <w:kern w:val="0"/>
                <w:sz w:val="24"/>
                <w:highlight w:val="none"/>
              </w:rPr>
              <w:t xml:space="preserve">      </w:t>
            </w:r>
            <w:r>
              <w:rPr>
                <w:rFonts w:hint="eastAsia" w:ascii="宋体" w:hAnsi="宋体" w:eastAsia="宋体" w:cs="宋体"/>
                <w:color w:val="auto"/>
                <w:position w:val="-10"/>
                <w:highlight w:val="none"/>
              </w:rPr>
              <w:object>
                <v:shape id="_x0000_i1042" o:spt="75" type="#_x0000_t75" style="height:24pt;width:24pt;" o:ole="t" filled="f" o:preferrelative="t" stroked="f" coordsize="21600,21600">
                  <v:path/>
                  <v:fill on="f" focussize="0,0"/>
                  <v:stroke on="f" joinstyle="miter"/>
                  <v:imagedata r:id="rId54" o:title=""/>
                  <o:lock v:ext="edit" aspectratio="t"/>
                  <w10:wrap type="none"/>
                  <w10:anchorlock/>
                </v:shape>
                <o:OLEObject Type="Embed" ProgID="Equation.KSEE3" ShapeID="_x0000_i1042" DrawAspect="Content" ObjectID="_1468075742" r:id="rId53">
                  <o:LockedField>false</o:LockedField>
                </o:OLEObject>
              </w:object>
            </w:r>
            <w:r>
              <w:rPr>
                <w:rFonts w:hint="eastAsia" w:ascii="宋体" w:hAnsi="宋体" w:eastAsia="宋体" w:cs="宋体"/>
                <w:color w:val="auto"/>
                <w:kern w:val="0"/>
                <w:sz w:val="24"/>
                <w:highlight w:val="none"/>
              </w:rPr>
              <w:t>—图11-1中由等中心位置穿过迷路内墙的泄露辐射在屏蔽门外30cm处的剂量率，μSv·h</w:t>
            </w:r>
            <w:r>
              <w:rPr>
                <w:rFonts w:hint="eastAsia" w:ascii="宋体" w:hAnsi="宋体" w:eastAsia="宋体" w:cs="宋体"/>
                <w:color w:val="auto"/>
                <w:kern w:val="0"/>
                <w:sz w:val="24"/>
                <w:highlight w:val="none"/>
                <w:vertAlign w:val="superscript"/>
              </w:rPr>
              <w:t>-1</w:t>
            </w:r>
            <w:r>
              <w:rPr>
                <w:rFonts w:hint="eastAsia" w:ascii="宋体" w:hAnsi="宋体" w:eastAsia="宋体" w:cs="宋体"/>
                <w:color w:val="auto"/>
                <w:kern w:val="0"/>
                <w:sz w:val="24"/>
                <w:highlight w:val="none"/>
              </w:rPr>
              <w:t xml:space="preserve">； </w:t>
            </w:r>
          </w:p>
          <w:p>
            <w:pPr>
              <w:spacing w:line="240" w:lineRule="auto"/>
              <w:jc w:val="center"/>
              <w:rPr>
                <w:rFonts w:hint="eastAsia" w:ascii="宋体" w:hAnsi="宋体" w:eastAsia="宋体" w:cs="宋体"/>
                <w:b/>
                <w:bCs/>
                <w:iCs/>
                <w:color w:val="auto"/>
                <w:kern w:val="0"/>
                <w:sz w:val="21"/>
                <w:szCs w:val="21"/>
                <w:highlight w:val="none"/>
              </w:rPr>
            </w:pPr>
          </w:p>
          <w:p>
            <w:pPr>
              <w:spacing w:line="240" w:lineRule="auto"/>
              <w:jc w:val="center"/>
              <w:rPr>
                <w:rFonts w:hint="eastAsia" w:ascii="宋体" w:hAnsi="宋体" w:eastAsia="宋体" w:cs="宋体"/>
                <w:b/>
                <w:bCs/>
                <w:iCs/>
                <w:color w:val="auto"/>
                <w:kern w:val="0"/>
                <w:sz w:val="21"/>
                <w:szCs w:val="21"/>
                <w:highlight w:val="none"/>
              </w:rPr>
            </w:pPr>
          </w:p>
          <w:p>
            <w:pPr>
              <w:spacing w:line="240" w:lineRule="auto"/>
              <w:jc w:val="center"/>
              <w:rPr>
                <w:rFonts w:hint="eastAsia" w:ascii="宋体" w:hAnsi="宋体" w:eastAsia="宋体" w:cs="宋体"/>
                <w:b/>
                <w:bCs/>
                <w:iCs/>
                <w:color w:val="auto"/>
                <w:kern w:val="0"/>
                <w:sz w:val="21"/>
                <w:szCs w:val="21"/>
                <w:highlight w:val="none"/>
              </w:rPr>
            </w:pPr>
          </w:p>
          <w:p>
            <w:pPr>
              <w:spacing w:line="240" w:lineRule="auto"/>
              <w:jc w:val="center"/>
              <w:rPr>
                <w:rFonts w:hint="eastAsia" w:ascii="宋体" w:hAnsi="宋体" w:eastAsia="宋体" w:cs="宋体"/>
                <w:b/>
                <w:bCs/>
                <w:iCs/>
                <w:color w:val="auto"/>
                <w:kern w:val="0"/>
                <w:sz w:val="21"/>
                <w:szCs w:val="21"/>
                <w:highlight w:val="none"/>
              </w:rPr>
            </w:pPr>
          </w:p>
          <w:p>
            <w:pPr>
              <w:spacing w:line="240" w:lineRule="auto"/>
              <w:jc w:val="center"/>
              <w:rPr>
                <w:rFonts w:hint="eastAsia" w:ascii="宋体" w:hAnsi="宋体" w:eastAsia="宋体" w:cs="宋体"/>
                <w:b/>
                <w:bCs/>
                <w:iCs/>
                <w:color w:val="auto"/>
                <w:kern w:val="0"/>
                <w:sz w:val="21"/>
                <w:szCs w:val="21"/>
                <w:highlight w:val="none"/>
              </w:rPr>
            </w:pPr>
            <w:r>
              <w:rPr>
                <w:rFonts w:hint="eastAsia" w:ascii="宋体" w:hAnsi="宋体" w:eastAsia="宋体" w:cs="宋体"/>
                <w:b/>
                <w:bCs/>
                <w:iCs/>
                <w:color w:val="auto"/>
                <w:kern w:val="0"/>
                <w:sz w:val="21"/>
                <w:szCs w:val="21"/>
                <w:highlight w:val="none"/>
              </w:rPr>
              <w:t>表11-</w:t>
            </w:r>
            <w:r>
              <w:rPr>
                <w:rFonts w:hint="eastAsia" w:ascii="宋体" w:hAnsi="宋体" w:eastAsia="宋体" w:cs="宋体"/>
                <w:b/>
                <w:bCs/>
                <w:iCs/>
                <w:color w:val="auto"/>
                <w:kern w:val="0"/>
                <w:sz w:val="21"/>
                <w:szCs w:val="21"/>
                <w:highlight w:val="none"/>
                <w:lang w:val="en-US" w:eastAsia="zh-CN"/>
              </w:rPr>
              <w:t>4</w:t>
            </w:r>
            <w:r>
              <w:rPr>
                <w:rFonts w:hint="eastAsia" w:ascii="宋体" w:hAnsi="宋体" w:eastAsia="宋体" w:cs="宋体"/>
                <w:b/>
                <w:bCs/>
                <w:iCs/>
                <w:color w:val="auto"/>
                <w:kern w:val="0"/>
                <w:sz w:val="21"/>
                <w:szCs w:val="21"/>
                <w:highlight w:val="none"/>
              </w:rPr>
              <w:t xml:space="preserve"> 直线加速器机房外辐射剂量预测结果</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0"/>
              <w:gridCol w:w="1271"/>
              <w:gridCol w:w="1391"/>
              <w:gridCol w:w="3436"/>
              <w:gridCol w:w="1068"/>
              <w:gridCol w:w="87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exact"/>
                <w:tblHeader/>
                <w:jc w:val="center"/>
              </w:trPr>
              <w:tc>
                <w:tcPr>
                  <w:tcW w:w="687" w:type="dxa"/>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项目</w:t>
                  </w:r>
                </w:p>
              </w:tc>
              <w:tc>
                <w:tcPr>
                  <w:tcW w:w="1286" w:type="dxa"/>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关注点位置</w:t>
                  </w:r>
                </w:p>
              </w:tc>
              <w:tc>
                <w:tcPr>
                  <w:tcW w:w="1408" w:type="dxa"/>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预测考虑的辐射因素</w:t>
                  </w:r>
                </w:p>
              </w:tc>
              <w:tc>
                <w:tcPr>
                  <w:tcW w:w="3482" w:type="dxa"/>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参数选取</w:t>
                  </w:r>
                </w:p>
              </w:tc>
              <w:tc>
                <w:tcPr>
                  <w:tcW w:w="1959" w:type="dxa"/>
                  <w:gridSpan w:val="2"/>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辐射剂量率预测值（μSv/h)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87" w:type="dxa"/>
                  <w:vMerge w:val="restart"/>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lang w:val="en-US" w:eastAsia="zh-CN"/>
                    </w:rPr>
                    <w:t>10</w:t>
                  </w:r>
                  <w:r>
                    <w:rPr>
                      <w:rFonts w:hint="eastAsia" w:ascii="宋体" w:hAnsi="宋体" w:eastAsia="宋体" w:cs="宋体"/>
                      <w:color w:val="auto"/>
                      <w:kern w:val="0"/>
                      <w:sz w:val="21"/>
                      <w:szCs w:val="21"/>
                      <w:highlight w:val="none"/>
                    </w:rPr>
                    <w:t>MV加速器</w:t>
                  </w:r>
                </w:p>
              </w:tc>
              <w:tc>
                <w:tcPr>
                  <w:tcW w:w="1286" w:type="dxa"/>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lang w:val="en-US" w:eastAsia="zh-CN"/>
                    </w:rPr>
                    <w:t>1</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东</w:t>
                  </w:r>
                  <w:r>
                    <w:rPr>
                      <w:rFonts w:hint="eastAsia" w:ascii="宋体" w:hAnsi="宋体" w:eastAsia="宋体" w:cs="宋体"/>
                      <w:color w:val="auto"/>
                      <w:kern w:val="0"/>
                      <w:sz w:val="21"/>
                      <w:szCs w:val="21"/>
                      <w:highlight w:val="none"/>
                    </w:rPr>
                    <w:t>侧主屏蔽墙外）</w:t>
                  </w:r>
                </w:p>
              </w:tc>
              <w:tc>
                <w:tcPr>
                  <w:tcW w:w="1408" w:type="dxa"/>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有用线束</w:t>
                  </w:r>
                </w:p>
              </w:tc>
              <w:tc>
                <w:tcPr>
                  <w:tcW w:w="3482" w:type="dxa"/>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position w:val="-6"/>
                      <w:sz w:val="21"/>
                      <w:szCs w:val="21"/>
                      <w:highlight w:val="none"/>
                    </w:rPr>
                    <w:object>
                      <v:shape id="_x0000_i1043" o:spt="75" type="#_x0000_t75" style="height:17.25pt;width:13.9pt;" o:ole="t" filled="f" o:preferrelative="t" stroked="f" coordsize="21600,21600">
                        <v:path/>
                        <v:fill on="f" focussize="0,0"/>
                        <v:stroke on="f" joinstyle="miter"/>
                        <v:imagedata r:id="rId56" o:title=""/>
                        <o:lock v:ext="edit" aspectratio="t"/>
                        <w10:wrap type="none"/>
                        <w10:anchorlock/>
                      </v:shape>
                      <o:OLEObject Type="Embed" ProgID="Equation.KSEE3" ShapeID="_x0000_i1043" DrawAspect="Content" ObjectID="_1468075743" r:id="rId55">
                        <o:LockedField>false</o:LockedField>
                      </o:OLEObject>
                    </w:objec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3.6</w:t>
                  </w:r>
                  <w:r>
                    <w:rPr>
                      <w:rFonts w:hint="eastAsia" w:ascii="宋体" w:hAnsi="宋体" w:eastAsia="宋体" w:cs="宋体"/>
                      <w:color w:val="auto"/>
                      <w:kern w:val="0"/>
                      <w:sz w:val="21"/>
                      <w:szCs w:val="21"/>
                      <w:highlight w:val="none"/>
                    </w:rPr>
                    <w:t>×10</w:t>
                  </w:r>
                  <w:r>
                    <w:rPr>
                      <w:rFonts w:hint="eastAsia" w:ascii="宋体" w:hAnsi="宋体" w:eastAsia="宋体" w:cs="宋体"/>
                      <w:color w:val="auto"/>
                      <w:kern w:val="0"/>
                      <w:sz w:val="21"/>
                      <w:szCs w:val="21"/>
                      <w:highlight w:val="none"/>
                      <w:vertAlign w:val="superscript"/>
                    </w:rPr>
                    <w:t>8</w:t>
                  </w:r>
                  <w:r>
                    <w:rPr>
                      <w:rFonts w:hint="eastAsia" w:ascii="宋体" w:hAnsi="宋体" w:eastAsia="宋体" w:cs="宋体"/>
                      <w:color w:val="auto"/>
                      <w:kern w:val="0"/>
                      <w:sz w:val="21"/>
                      <w:szCs w:val="21"/>
                      <w:highlight w:val="none"/>
                    </w:rPr>
                    <w:t>μSv·m</w:t>
                  </w:r>
                  <w:r>
                    <w:rPr>
                      <w:rFonts w:hint="eastAsia" w:ascii="宋体" w:hAnsi="宋体" w:eastAsia="宋体" w:cs="宋体"/>
                      <w:color w:val="auto"/>
                      <w:kern w:val="0"/>
                      <w:sz w:val="21"/>
                      <w:szCs w:val="21"/>
                      <w:highlight w:val="none"/>
                      <w:vertAlign w:val="superscript"/>
                    </w:rPr>
                    <w:t>2</w:t>
                  </w:r>
                  <w:r>
                    <w:rPr>
                      <w:rFonts w:hint="eastAsia" w:ascii="宋体" w:hAnsi="宋体" w:eastAsia="宋体" w:cs="宋体"/>
                      <w:color w:val="auto"/>
                      <w:kern w:val="0"/>
                      <w:sz w:val="21"/>
                      <w:szCs w:val="21"/>
                      <w:highlight w:val="none"/>
                    </w:rPr>
                    <w:t>·h</w:t>
                  </w:r>
                  <w:r>
                    <w:rPr>
                      <w:rFonts w:hint="eastAsia" w:ascii="宋体" w:hAnsi="宋体" w:eastAsia="宋体" w:cs="宋体"/>
                      <w:color w:val="auto"/>
                      <w:kern w:val="0"/>
                      <w:sz w:val="21"/>
                      <w:szCs w:val="21"/>
                      <w:highlight w:val="none"/>
                      <w:vertAlign w:val="superscript"/>
                    </w:rPr>
                    <w:t>-1</w:t>
                  </w:r>
                  <w:r>
                    <w:rPr>
                      <w:rFonts w:hint="eastAsia" w:ascii="宋体" w:hAnsi="宋体" w:eastAsia="宋体" w:cs="宋体"/>
                      <w:color w:val="auto"/>
                      <w:kern w:val="0"/>
                      <w:sz w:val="21"/>
                      <w:szCs w:val="21"/>
                      <w:highlight w:val="none"/>
                    </w:rPr>
                    <w:t>；</w:t>
                  </w:r>
                  <w:r>
                    <w:rPr>
                      <w:rFonts w:hint="eastAsia" w:ascii="宋体" w:hAnsi="宋体" w:eastAsia="宋体" w:cs="宋体"/>
                      <w:i/>
                      <w:iCs/>
                      <w:color w:val="auto"/>
                      <w:kern w:val="0"/>
                      <w:sz w:val="21"/>
                      <w:szCs w:val="21"/>
                      <w:highlight w:val="none"/>
                    </w:rPr>
                    <w:t>f</w:t>
                  </w:r>
                  <w:r>
                    <w:rPr>
                      <w:rFonts w:hint="eastAsia" w:ascii="宋体" w:hAnsi="宋体" w:eastAsia="宋体" w:cs="宋体"/>
                      <w:color w:val="auto"/>
                      <w:kern w:val="0"/>
                      <w:sz w:val="21"/>
                      <w:szCs w:val="21"/>
                      <w:highlight w:val="none"/>
                    </w:rPr>
                    <w:t>=1；</w:t>
                  </w:r>
                  <w:r>
                    <w:rPr>
                      <w:rFonts w:hint="eastAsia" w:ascii="宋体" w:hAnsi="宋体" w:eastAsia="宋体" w:cs="宋体"/>
                      <w:i/>
                      <w:iCs/>
                      <w:color w:val="auto"/>
                      <w:kern w:val="0"/>
                      <w:sz w:val="21"/>
                      <w:szCs w:val="21"/>
                      <w:highlight w:val="none"/>
                    </w:rPr>
                    <w:t>R</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7.7</w:t>
                  </w:r>
                  <w:r>
                    <w:rPr>
                      <w:rFonts w:hint="eastAsia" w:ascii="宋体" w:hAnsi="宋体" w:eastAsia="宋体" w:cs="宋体"/>
                      <w:color w:val="auto"/>
                      <w:kern w:val="0"/>
                      <w:sz w:val="21"/>
                      <w:szCs w:val="21"/>
                      <w:highlight w:val="none"/>
                    </w:rPr>
                    <w:t>m；</w:t>
                  </w:r>
                  <w:r>
                    <w:rPr>
                      <w:rFonts w:hint="eastAsia" w:ascii="宋体" w:hAnsi="宋体" w:eastAsia="宋体" w:cs="宋体"/>
                      <w:i/>
                      <w:iCs/>
                      <w:color w:val="auto"/>
                      <w:kern w:val="0"/>
                      <w:sz w:val="21"/>
                      <w:szCs w:val="21"/>
                      <w:highlight w:val="none"/>
                    </w:rPr>
                    <w:t>TVL</w:t>
                  </w:r>
                  <w:r>
                    <w:rPr>
                      <w:rFonts w:hint="eastAsia" w:ascii="宋体" w:hAnsi="宋体" w:eastAsia="宋体" w:cs="宋体"/>
                      <w:color w:val="auto"/>
                      <w:kern w:val="0"/>
                      <w:sz w:val="21"/>
                      <w:szCs w:val="21"/>
                      <w:highlight w:val="none"/>
                      <w:vertAlign w:val="subscript"/>
                    </w:rPr>
                    <w:t>1</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41</w:t>
                  </w:r>
                  <w:r>
                    <w:rPr>
                      <w:rFonts w:hint="eastAsia" w:ascii="宋体" w:hAnsi="宋体" w:eastAsia="宋体" w:cs="宋体"/>
                      <w:color w:val="auto"/>
                      <w:kern w:val="0"/>
                      <w:sz w:val="21"/>
                      <w:szCs w:val="21"/>
                      <w:highlight w:val="none"/>
                    </w:rPr>
                    <w:t>cm；</w:t>
                  </w:r>
                  <w:r>
                    <w:rPr>
                      <w:rFonts w:hint="eastAsia" w:ascii="宋体" w:hAnsi="宋体" w:eastAsia="宋体" w:cs="宋体"/>
                      <w:i/>
                      <w:iCs/>
                      <w:color w:val="auto"/>
                      <w:kern w:val="0"/>
                      <w:sz w:val="21"/>
                      <w:szCs w:val="21"/>
                      <w:highlight w:val="none"/>
                    </w:rPr>
                    <w:t>TVL</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37</w:t>
                  </w:r>
                  <w:r>
                    <w:rPr>
                      <w:rFonts w:hint="eastAsia" w:ascii="宋体" w:hAnsi="宋体" w:eastAsia="宋体" w:cs="宋体"/>
                      <w:color w:val="auto"/>
                      <w:kern w:val="0"/>
                      <w:sz w:val="21"/>
                      <w:szCs w:val="21"/>
                      <w:highlight w:val="none"/>
                    </w:rPr>
                    <w:t>cm；</w:t>
                  </w:r>
                  <w:r>
                    <w:rPr>
                      <w:rFonts w:hint="eastAsia" w:ascii="宋体" w:hAnsi="宋体" w:eastAsia="宋体" w:cs="宋体"/>
                      <w:i/>
                      <w:iCs/>
                      <w:color w:val="auto"/>
                      <w:kern w:val="0"/>
                      <w:sz w:val="21"/>
                      <w:szCs w:val="21"/>
                      <w:highlight w:val="none"/>
                    </w:rPr>
                    <w:t>X</w:t>
                  </w:r>
                  <w:r>
                    <w:rPr>
                      <w:rFonts w:hint="eastAsia" w:ascii="宋体" w:hAnsi="宋体" w:eastAsia="宋体" w:cs="宋体"/>
                      <w:color w:val="auto"/>
                      <w:kern w:val="0"/>
                      <w:sz w:val="21"/>
                      <w:szCs w:val="21"/>
                      <w:highlight w:val="none"/>
                    </w:rPr>
                    <w:t>=</w:t>
                  </w:r>
                  <w:r>
                    <w:rPr>
                      <w:rFonts w:hint="eastAsia" w:ascii="宋体" w:hAnsi="宋体" w:eastAsia="宋体" w:cs="宋体"/>
                      <w:i/>
                      <w:iCs/>
                      <w:color w:val="auto"/>
                      <w:kern w:val="0"/>
                      <w:sz w:val="21"/>
                      <w:szCs w:val="21"/>
                      <w:highlight w:val="none"/>
                    </w:rPr>
                    <w:t>Xe</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290</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position w:val="-6"/>
                      <w:sz w:val="21"/>
                      <w:szCs w:val="21"/>
                      <w:highlight w:val="none"/>
                    </w:rPr>
                    <w:object>
                      <v:shape id="_x0000_i1044" o:spt="75" type="#_x0000_t75" style="height:11.25pt;width:94.15pt;" o:ole="t" filled="f" o:preferrelative="t" stroked="f" coordsize="21600,21600">
                        <v:path/>
                        <v:fill on="f" focussize="0,0"/>
                        <v:stroke on="f" joinstyle="miter"/>
                        <v:imagedata r:id="rId28" o:title=""/>
                        <o:lock v:ext="edit" aspectratio="t"/>
                        <w10:wrap type="none"/>
                        <w10:anchorlock/>
                      </v:shape>
                      <o:OLEObject Type="Embed" ProgID="Equations" ShapeID="_x0000_i1044" DrawAspect="Content" ObjectID="_1468075744" r:id="rId57">
                        <o:LockedField>false</o:LockedField>
                      </o:OLEObject>
                    </w:object>
                  </w:r>
                  <w:r>
                    <w:rPr>
                      <w:rFonts w:hint="eastAsia" w:ascii="宋体" w:hAnsi="宋体" w:eastAsia="宋体" w:cs="宋体"/>
                      <w:color w:val="auto"/>
                      <w:kern w:val="0"/>
                      <w:position w:val="-6"/>
                      <w:sz w:val="21"/>
                      <w:szCs w:val="21"/>
                      <w:highlight w:val="none"/>
                    </w:rPr>
                    <w:t>=</w:t>
                  </w:r>
                  <w:r>
                    <w:rPr>
                      <w:rFonts w:hint="eastAsia" w:ascii="宋体" w:hAnsi="宋体" w:eastAsia="宋体" w:cs="宋体"/>
                      <w:color w:val="auto"/>
                      <w:kern w:val="0"/>
                      <w:position w:val="-6"/>
                      <w:sz w:val="21"/>
                      <w:szCs w:val="21"/>
                      <w:highlight w:val="none"/>
                      <w:lang w:val="en-US" w:eastAsia="zh-CN"/>
                    </w:rPr>
                    <w:t>1.86</w:t>
                  </w:r>
                  <w:r>
                    <w:rPr>
                      <w:rFonts w:hint="eastAsia" w:ascii="宋体" w:hAnsi="宋体" w:eastAsia="宋体" w:cs="宋体"/>
                      <w:color w:val="auto"/>
                      <w:kern w:val="0"/>
                      <w:position w:val="-6"/>
                      <w:sz w:val="21"/>
                      <w:szCs w:val="21"/>
                      <w:highlight w:val="none"/>
                    </w:rPr>
                    <w:t>×10</w:t>
                  </w:r>
                  <w:r>
                    <w:rPr>
                      <w:rFonts w:hint="eastAsia" w:ascii="宋体" w:hAnsi="宋体" w:eastAsia="宋体" w:cs="宋体"/>
                      <w:color w:val="auto"/>
                      <w:kern w:val="0"/>
                      <w:position w:val="-6"/>
                      <w:sz w:val="21"/>
                      <w:szCs w:val="21"/>
                      <w:highlight w:val="none"/>
                      <w:vertAlign w:val="superscript"/>
                    </w:rPr>
                    <w:t>-</w:t>
                  </w:r>
                  <w:r>
                    <w:rPr>
                      <w:rFonts w:hint="eastAsia" w:ascii="宋体" w:hAnsi="宋体" w:eastAsia="宋体" w:cs="宋体"/>
                      <w:color w:val="auto"/>
                      <w:kern w:val="0"/>
                      <w:position w:val="-6"/>
                      <w:sz w:val="21"/>
                      <w:szCs w:val="21"/>
                      <w:highlight w:val="none"/>
                      <w:vertAlign w:val="superscript"/>
                      <w:lang w:val="en-US" w:eastAsia="zh-CN"/>
                    </w:rPr>
                    <w:t>8</w:t>
                  </w:r>
                </w:p>
              </w:tc>
              <w:tc>
                <w:tcPr>
                  <w:tcW w:w="1959" w:type="dxa"/>
                  <w:gridSpan w:val="2"/>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rPr>
                    <w:t>0.</w:t>
                  </w:r>
                  <w:r>
                    <w:rPr>
                      <w:rFonts w:hint="eastAsia" w:ascii="宋体" w:hAnsi="宋体" w:eastAsia="宋体" w:cs="宋体"/>
                      <w:color w:val="auto"/>
                      <w:kern w:val="0"/>
                      <w:sz w:val="21"/>
                      <w:szCs w:val="21"/>
                      <w:highlight w:val="none"/>
                      <w:lang w:val="en-US" w:eastAsia="zh-CN"/>
                    </w:rPr>
                    <w:t>113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87" w:type="dxa"/>
                  <w:vMerge w:val="continue"/>
                  <w:tcBorders>
                    <w:tl2br w:val="nil"/>
                    <w:tr2bl w:val="nil"/>
                  </w:tcBorders>
                  <w:vAlign w:val="center"/>
                </w:tcPr>
                <w:p>
                  <w:pPr>
                    <w:spacing w:line="240" w:lineRule="auto"/>
                    <w:jc w:val="center"/>
                    <w:rPr>
                      <w:rFonts w:hint="eastAsia" w:ascii="宋体" w:hAnsi="宋体" w:eastAsia="宋体" w:cs="宋体"/>
                      <w:color w:val="0000FF"/>
                      <w:kern w:val="0"/>
                      <w:sz w:val="21"/>
                      <w:szCs w:val="21"/>
                      <w:highlight w:val="none"/>
                    </w:rPr>
                  </w:pPr>
                </w:p>
              </w:tc>
              <w:tc>
                <w:tcPr>
                  <w:tcW w:w="1286" w:type="dxa"/>
                  <w:vMerge w:val="restart"/>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2#（</w:t>
                  </w:r>
                  <w:r>
                    <w:rPr>
                      <w:rFonts w:hint="eastAsia" w:ascii="宋体" w:hAnsi="宋体" w:eastAsia="宋体" w:cs="宋体"/>
                      <w:color w:val="auto"/>
                      <w:kern w:val="0"/>
                      <w:sz w:val="21"/>
                      <w:szCs w:val="21"/>
                      <w:highlight w:val="none"/>
                      <w:lang w:val="en-US" w:eastAsia="zh-CN"/>
                    </w:rPr>
                    <w:t>东</w:t>
                  </w:r>
                  <w:r>
                    <w:rPr>
                      <w:rFonts w:hint="eastAsia" w:ascii="宋体" w:hAnsi="宋体" w:eastAsia="宋体" w:cs="宋体"/>
                      <w:color w:val="auto"/>
                      <w:kern w:val="0"/>
                      <w:sz w:val="21"/>
                      <w:szCs w:val="21"/>
                      <w:highlight w:val="none"/>
                    </w:rPr>
                    <w:t>侧与主屏蔽墙相连的副屏蔽墙外）</w:t>
                  </w:r>
                </w:p>
              </w:tc>
              <w:tc>
                <w:tcPr>
                  <w:tcW w:w="1408" w:type="dxa"/>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泄露辐射</w:t>
                  </w:r>
                </w:p>
              </w:tc>
              <w:tc>
                <w:tcPr>
                  <w:tcW w:w="3482" w:type="dxa"/>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position w:val="-6"/>
                      <w:sz w:val="21"/>
                      <w:szCs w:val="21"/>
                      <w:highlight w:val="none"/>
                    </w:rPr>
                    <w:object>
                      <v:shape id="_x0000_i1045" o:spt="75" type="#_x0000_t75" style="height:17.25pt;width:13.9pt;" o:ole="t" filled="f" o:preferrelative="t" stroked="f" coordsize="21600,21600">
                        <v:path/>
                        <v:fill on="f" focussize="0,0"/>
                        <v:stroke on="f" joinstyle="miter"/>
                        <v:imagedata r:id="rId56" o:title=""/>
                        <o:lock v:ext="edit" aspectratio="t"/>
                        <w10:wrap type="none"/>
                        <w10:anchorlock/>
                      </v:shape>
                      <o:OLEObject Type="Embed" ProgID="Equation.KSEE3" ShapeID="_x0000_i1045" DrawAspect="Content" ObjectID="_1468075745" r:id="rId58">
                        <o:LockedField>false</o:LockedField>
                      </o:OLEObject>
                    </w:objec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3.6</w:t>
                  </w:r>
                  <w:r>
                    <w:rPr>
                      <w:rFonts w:hint="eastAsia" w:ascii="宋体" w:hAnsi="宋体" w:eastAsia="宋体" w:cs="宋体"/>
                      <w:color w:val="auto"/>
                      <w:kern w:val="0"/>
                      <w:sz w:val="21"/>
                      <w:szCs w:val="21"/>
                      <w:highlight w:val="none"/>
                    </w:rPr>
                    <w:t>×10</w:t>
                  </w:r>
                  <w:r>
                    <w:rPr>
                      <w:rFonts w:hint="eastAsia" w:ascii="宋体" w:hAnsi="宋体" w:eastAsia="宋体" w:cs="宋体"/>
                      <w:color w:val="auto"/>
                      <w:kern w:val="0"/>
                      <w:sz w:val="21"/>
                      <w:szCs w:val="21"/>
                      <w:highlight w:val="none"/>
                      <w:vertAlign w:val="superscript"/>
                    </w:rPr>
                    <w:t>8</w:t>
                  </w:r>
                  <w:r>
                    <w:rPr>
                      <w:rFonts w:hint="eastAsia" w:ascii="宋体" w:hAnsi="宋体" w:eastAsia="宋体" w:cs="宋体"/>
                      <w:color w:val="auto"/>
                      <w:kern w:val="0"/>
                      <w:sz w:val="21"/>
                      <w:szCs w:val="21"/>
                      <w:highlight w:val="none"/>
                    </w:rPr>
                    <w:t>μSv·m</w:t>
                  </w:r>
                  <w:r>
                    <w:rPr>
                      <w:rFonts w:hint="eastAsia" w:ascii="宋体" w:hAnsi="宋体" w:eastAsia="宋体" w:cs="宋体"/>
                      <w:color w:val="auto"/>
                      <w:kern w:val="0"/>
                      <w:sz w:val="21"/>
                      <w:szCs w:val="21"/>
                      <w:highlight w:val="none"/>
                      <w:vertAlign w:val="superscript"/>
                    </w:rPr>
                    <w:t>2</w:t>
                  </w:r>
                  <w:r>
                    <w:rPr>
                      <w:rFonts w:hint="eastAsia" w:ascii="宋体" w:hAnsi="宋体" w:eastAsia="宋体" w:cs="宋体"/>
                      <w:color w:val="auto"/>
                      <w:kern w:val="0"/>
                      <w:sz w:val="21"/>
                      <w:szCs w:val="21"/>
                      <w:highlight w:val="none"/>
                    </w:rPr>
                    <w:t>·h</w:t>
                  </w:r>
                  <w:r>
                    <w:rPr>
                      <w:rFonts w:hint="eastAsia" w:ascii="宋体" w:hAnsi="宋体" w:eastAsia="宋体" w:cs="宋体"/>
                      <w:color w:val="auto"/>
                      <w:kern w:val="0"/>
                      <w:sz w:val="21"/>
                      <w:szCs w:val="21"/>
                      <w:highlight w:val="none"/>
                      <w:vertAlign w:val="superscript"/>
                    </w:rPr>
                    <w:t>-1</w:t>
                  </w:r>
                  <w:r>
                    <w:rPr>
                      <w:rFonts w:hint="eastAsia" w:ascii="宋体" w:hAnsi="宋体" w:eastAsia="宋体" w:cs="宋体"/>
                      <w:color w:val="auto"/>
                      <w:kern w:val="0"/>
                      <w:sz w:val="21"/>
                      <w:szCs w:val="21"/>
                      <w:highlight w:val="none"/>
                    </w:rPr>
                    <w:t>；</w:t>
                  </w:r>
                  <w:r>
                    <w:rPr>
                      <w:rFonts w:hint="eastAsia" w:ascii="宋体" w:hAnsi="宋体" w:eastAsia="宋体" w:cs="宋体"/>
                      <w:i/>
                      <w:iCs/>
                      <w:color w:val="auto"/>
                      <w:kern w:val="0"/>
                      <w:sz w:val="21"/>
                      <w:szCs w:val="21"/>
                      <w:highlight w:val="none"/>
                    </w:rPr>
                    <w:t>f</w:t>
                  </w:r>
                  <w:r>
                    <w:rPr>
                      <w:rFonts w:hint="eastAsia" w:ascii="宋体" w:hAnsi="宋体" w:eastAsia="宋体" w:cs="宋体"/>
                      <w:color w:val="auto"/>
                      <w:kern w:val="0"/>
                      <w:sz w:val="21"/>
                      <w:szCs w:val="21"/>
                      <w:highlight w:val="none"/>
                    </w:rPr>
                    <w:t>=10</w:t>
                  </w:r>
                  <w:r>
                    <w:rPr>
                      <w:rFonts w:hint="eastAsia" w:ascii="宋体" w:hAnsi="宋体" w:eastAsia="宋体" w:cs="宋体"/>
                      <w:color w:val="auto"/>
                      <w:kern w:val="0"/>
                      <w:sz w:val="21"/>
                      <w:szCs w:val="21"/>
                      <w:highlight w:val="none"/>
                      <w:vertAlign w:val="superscript"/>
                    </w:rPr>
                    <w:t>-3</w:t>
                  </w:r>
                  <w:r>
                    <w:rPr>
                      <w:rFonts w:hint="eastAsia" w:ascii="宋体" w:hAnsi="宋体" w:eastAsia="宋体" w:cs="宋体"/>
                      <w:color w:val="auto"/>
                      <w:kern w:val="0"/>
                      <w:sz w:val="21"/>
                      <w:szCs w:val="21"/>
                      <w:highlight w:val="none"/>
                    </w:rPr>
                    <w:t>；</w:t>
                  </w:r>
                  <w:r>
                    <w:rPr>
                      <w:rFonts w:hint="eastAsia" w:ascii="宋体" w:hAnsi="宋体" w:eastAsia="宋体" w:cs="宋体"/>
                      <w:i/>
                      <w:iCs/>
                      <w:color w:val="auto"/>
                      <w:kern w:val="0"/>
                      <w:sz w:val="21"/>
                      <w:szCs w:val="21"/>
                      <w:highlight w:val="none"/>
                    </w:rPr>
                    <w:t>R</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7.65</w:t>
                  </w:r>
                  <w:r>
                    <w:rPr>
                      <w:rFonts w:hint="eastAsia" w:ascii="宋体" w:hAnsi="宋体" w:eastAsia="宋体" w:cs="宋体"/>
                      <w:color w:val="auto"/>
                      <w:kern w:val="0"/>
                      <w:sz w:val="21"/>
                      <w:szCs w:val="21"/>
                      <w:highlight w:val="none"/>
                    </w:rPr>
                    <w:t>m；</w:t>
                  </w:r>
                  <w:r>
                    <w:rPr>
                      <w:rFonts w:hint="eastAsia" w:ascii="宋体" w:hAnsi="宋体" w:eastAsia="宋体" w:cs="宋体"/>
                      <w:i/>
                      <w:iCs/>
                      <w:color w:val="auto"/>
                      <w:kern w:val="0"/>
                      <w:sz w:val="21"/>
                      <w:szCs w:val="21"/>
                      <w:highlight w:val="none"/>
                    </w:rPr>
                    <w:t>TVL</w:t>
                  </w:r>
                  <w:r>
                    <w:rPr>
                      <w:rFonts w:hint="eastAsia" w:ascii="宋体" w:hAnsi="宋体" w:eastAsia="宋体" w:cs="宋体"/>
                      <w:color w:val="auto"/>
                      <w:kern w:val="0"/>
                      <w:sz w:val="21"/>
                      <w:szCs w:val="21"/>
                      <w:highlight w:val="none"/>
                      <w:vertAlign w:val="subscript"/>
                    </w:rPr>
                    <w:t>1</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35</w:t>
                  </w:r>
                  <w:r>
                    <w:rPr>
                      <w:rFonts w:hint="eastAsia" w:ascii="宋体" w:hAnsi="宋体" w:eastAsia="宋体" w:cs="宋体"/>
                      <w:color w:val="auto"/>
                      <w:kern w:val="0"/>
                      <w:sz w:val="21"/>
                      <w:szCs w:val="21"/>
                      <w:highlight w:val="none"/>
                    </w:rPr>
                    <w:t>cm；</w:t>
                  </w:r>
                  <w:r>
                    <w:rPr>
                      <w:rFonts w:hint="eastAsia" w:ascii="宋体" w:hAnsi="宋体" w:eastAsia="宋体" w:cs="宋体"/>
                      <w:i/>
                      <w:iCs/>
                      <w:color w:val="auto"/>
                      <w:kern w:val="0"/>
                      <w:sz w:val="21"/>
                      <w:szCs w:val="21"/>
                      <w:highlight w:val="none"/>
                    </w:rPr>
                    <w:t>TVL</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31</w:t>
                  </w:r>
                  <w:r>
                    <w:rPr>
                      <w:rFonts w:hint="eastAsia" w:ascii="宋体" w:hAnsi="宋体" w:eastAsia="宋体" w:cs="宋体"/>
                      <w:color w:val="auto"/>
                      <w:kern w:val="0"/>
                      <w:sz w:val="21"/>
                      <w:szCs w:val="21"/>
                      <w:highlight w:val="none"/>
                    </w:rPr>
                    <w:t>cm；</w:t>
                  </w:r>
                  <w:r>
                    <w:rPr>
                      <w:rFonts w:hint="eastAsia" w:ascii="宋体" w:hAnsi="宋体" w:eastAsia="宋体" w:cs="宋体"/>
                      <w:i/>
                      <w:iCs/>
                      <w:color w:val="auto"/>
                      <w:kern w:val="0"/>
                      <w:sz w:val="21"/>
                      <w:szCs w:val="21"/>
                      <w:highlight w:val="none"/>
                    </w:rPr>
                    <w:t>X</w:t>
                  </w:r>
                  <w:r>
                    <w:rPr>
                      <w:rFonts w:hint="eastAsia" w:ascii="宋体" w:hAnsi="宋体" w:eastAsia="宋体" w:cs="宋体"/>
                      <w:color w:val="auto"/>
                      <w:kern w:val="0"/>
                      <w:sz w:val="21"/>
                      <w:szCs w:val="21"/>
                      <w:highlight w:val="none"/>
                    </w:rPr>
                    <w:t>=</w:t>
                  </w:r>
                  <w:r>
                    <w:rPr>
                      <w:rFonts w:hint="eastAsia" w:ascii="宋体" w:hAnsi="宋体" w:eastAsia="宋体" w:cs="宋体"/>
                      <w:i/>
                      <w:iCs/>
                      <w:color w:val="auto"/>
                      <w:kern w:val="0"/>
                      <w:sz w:val="21"/>
                      <w:szCs w:val="21"/>
                      <w:highlight w:val="none"/>
                    </w:rPr>
                    <w:t>Xe/cos</w:t>
                  </w:r>
                  <w:r>
                    <w:rPr>
                      <w:rFonts w:hint="eastAsia" w:ascii="宋体" w:hAnsi="宋体" w:eastAsia="宋体" w:cs="宋体"/>
                      <w:color w:val="auto"/>
                      <w:kern w:val="0"/>
                      <w:sz w:val="21"/>
                      <w:szCs w:val="21"/>
                      <w:highlight w:val="none"/>
                    </w:rPr>
                    <w:t>30°=</w:t>
                  </w:r>
                  <w:r>
                    <w:rPr>
                      <w:rFonts w:hint="eastAsia" w:ascii="宋体" w:hAnsi="宋体" w:eastAsia="宋体" w:cs="宋体"/>
                      <w:color w:val="auto"/>
                      <w:kern w:val="0"/>
                      <w:sz w:val="21"/>
                      <w:szCs w:val="21"/>
                      <w:highlight w:val="none"/>
                      <w:lang w:val="en-US" w:eastAsia="zh-CN"/>
                    </w:rPr>
                    <w:t>196.3</w:t>
                  </w:r>
                  <w:r>
                    <w:rPr>
                      <w:rFonts w:hint="eastAsia" w:ascii="宋体" w:hAnsi="宋体" w:eastAsia="宋体" w:cs="宋体"/>
                      <w:color w:val="auto"/>
                      <w:kern w:val="0"/>
                      <w:sz w:val="21"/>
                      <w:szCs w:val="21"/>
                      <w:highlight w:val="none"/>
                    </w:rPr>
                    <w:t>cm；</w:t>
                  </w:r>
                  <w:r>
                    <w:rPr>
                      <w:rFonts w:hint="eastAsia" w:ascii="宋体" w:hAnsi="宋体" w:eastAsia="宋体" w:cs="宋体"/>
                      <w:color w:val="auto"/>
                      <w:kern w:val="0"/>
                      <w:position w:val="-6"/>
                      <w:sz w:val="21"/>
                      <w:szCs w:val="21"/>
                      <w:highlight w:val="none"/>
                    </w:rPr>
                    <w:object>
                      <v:shape id="_x0000_i1046" o:spt="75" type="#_x0000_t75" style="height:12pt;width:94.15pt;" o:ole="t" filled="f" o:preferrelative="t" stroked="f" coordsize="21600,21600">
                        <v:path/>
                        <v:fill on="f" focussize="0,0"/>
                        <v:stroke on="f" joinstyle="miter"/>
                        <v:imagedata r:id="rId28" o:title=""/>
                        <o:lock v:ext="edit" aspectratio="t"/>
                        <w10:wrap type="none"/>
                        <w10:anchorlock/>
                      </v:shape>
                      <o:OLEObject Type="Embed" ProgID="Equations" ShapeID="_x0000_i1046" DrawAspect="Content" ObjectID="_1468075746" r:id="rId59">
                        <o:LockedField>false</o:LockedField>
                      </o:OLEObject>
                    </w:object>
                  </w:r>
                  <w:r>
                    <w:rPr>
                      <w:rFonts w:hint="eastAsia" w:ascii="宋体" w:hAnsi="宋体" w:eastAsia="宋体" w:cs="宋体"/>
                      <w:color w:val="auto"/>
                      <w:kern w:val="0"/>
                      <w:position w:val="-6"/>
                      <w:sz w:val="21"/>
                      <w:szCs w:val="21"/>
                      <w:highlight w:val="none"/>
                    </w:rPr>
                    <w:t>=</w:t>
                  </w:r>
                  <w:r>
                    <w:rPr>
                      <w:rFonts w:hint="eastAsia" w:ascii="宋体" w:hAnsi="宋体" w:eastAsia="宋体" w:cs="宋体"/>
                      <w:color w:val="auto"/>
                      <w:kern w:val="0"/>
                      <w:position w:val="-6"/>
                      <w:sz w:val="21"/>
                      <w:szCs w:val="21"/>
                      <w:highlight w:val="none"/>
                      <w:lang w:val="en-US" w:eastAsia="zh-CN"/>
                    </w:rPr>
                    <w:t>6.26</w:t>
                  </w:r>
                  <w:r>
                    <w:rPr>
                      <w:rFonts w:hint="eastAsia" w:ascii="宋体" w:hAnsi="宋体" w:eastAsia="宋体" w:cs="宋体"/>
                      <w:color w:val="auto"/>
                      <w:kern w:val="0"/>
                      <w:position w:val="-6"/>
                      <w:sz w:val="21"/>
                      <w:szCs w:val="21"/>
                      <w:highlight w:val="none"/>
                    </w:rPr>
                    <w:t>×10</w:t>
                  </w:r>
                  <w:r>
                    <w:rPr>
                      <w:rFonts w:hint="eastAsia" w:ascii="宋体" w:hAnsi="宋体" w:eastAsia="宋体" w:cs="宋体"/>
                      <w:color w:val="auto"/>
                      <w:kern w:val="0"/>
                      <w:position w:val="-6"/>
                      <w:sz w:val="21"/>
                      <w:szCs w:val="21"/>
                      <w:highlight w:val="none"/>
                      <w:vertAlign w:val="superscript"/>
                    </w:rPr>
                    <w:t>-</w:t>
                  </w:r>
                  <w:r>
                    <w:rPr>
                      <w:rFonts w:hint="eastAsia" w:ascii="宋体" w:hAnsi="宋体" w:eastAsia="宋体" w:cs="宋体"/>
                      <w:color w:val="auto"/>
                      <w:kern w:val="0"/>
                      <w:position w:val="-6"/>
                      <w:sz w:val="21"/>
                      <w:szCs w:val="21"/>
                      <w:highlight w:val="none"/>
                      <w:vertAlign w:val="superscript"/>
                      <w:lang w:val="en-US" w:eastAsia="zh-CN"/>
                    </w:rPr>
                    <w:t>7</w:t>
                  </w:r>
                </w:p>
              </w:tc>
              <w:tc>
                <w:tcPr>
                  <w:tcW w:w="1080" w:type="dxa"/>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0.004</w:t>
                  </w:r>
                </w:p>
              </w:tc>
              <w:tc>
                <w:tcPr>
                  <w:tcW w:w="879" w:type="dxa"/>
                  <w:vMerge w:val="restart"/>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rPr>
                    <w:t>合计：</w:t>
                  </w:r>
                  <w:r>
                    <w:rPr>
                      <w:rFonts w:hint="eastAsia" w:ascii="宋体" w:hAnsi="宋体" w:eastAsia="宋体" w:cs="宋体"/>
                      <w:color w:val="auto"/>
                      <w:kern w:val="0"/>
                      <w:sz w:val="21"/>
                      <w:szCs w:val="21"/>
                      <w:highlight w:val="none"/>
                      <w:lang w:val="en-US" w:eastAsia="zh-CN"/>
                    </w:rPr>
                    <w:t>0.012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87" w:type="dxa"/>
                  <w:vMerge w:val="continue"/>
                  <w:tcBorders>
                    <w:tl2br w:val="nil"/>
                    <w:tr2bl w:val="nil"/>
                  </w:tcBorders>
                  <w:vAlign w:val="center"/>
                </w:tcPr>
                <w:p>
                  <w:pPr>
                    <w:spacing w:line="240" w:lineRule="auto"/>
                    <w:jc w:val="center"/>
                    <w:rPr>
                      <w:rFonts w:hint="eastAsia" w:ascii="宋体" w:hAnsi="宋体" w:eastAsia="宋体" w:cs="宋体"/>
                      <w:color w:val="0000FF"/>
                      <w:kern w:val="0"/>
                      <w:sz w:val="21"/>
                      <w:szCs w:val="21"/>
                      <w:highlight w:val="none"/>
                    </w:rPr>
                  </w:pPr>
                </w:p>
              </w:tc>
              <w:tc>
                <w:tcPr>
                  <w:tcW w:w="1286" w:type="dxa"/>
                  <w:vMerge w:val="continue"/>
                  <w:tcBorders>
                    <w:tl2br w:val="nil"/>
                    <w:tr2bl w:val="nil"/>
                  </w:tcBorders>
                  <w:vAlign w:val="center"/>
                </w:tcPr>
                <w:p>
                  <w:pPr>
                    <w:spacing w:line="240" w:lineRule="auto"/>
                    <w:jc w:val="center"/>
                    <w:rPr>
                      <w:rFonts w:hint="eastAsia" w:ascii="宋体" w:hAnsi="宋体" w:eastAsia="宋体" w:cs="宋体"/>
                      <w:color w:val="0000FF"/>
                      <w:kern w:val="0"/>
                      <w:sz w:val="21"/>
                      <w:szCs w:val="21"/>
                      <w:highlight w:val="none"/>
                    </w:rPr>
                  </w:pPr>
                </w:p>
              </w:tc>
              <w:tc>
                <w:tcPr>
                  <w:tcW w:w="1408" w:type="dxa"/>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散射辐射</w:t>
                  </w:r>
                </w:p>
              </w:tc>
              <w:tc>
                <w:tcPr>
                  <w:tcW w:w="3482" w:type="dxa"/>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position w:val="-6"/>
                      <w:sz w:val="21"/>
                      <w:szCs w:val="21"/>
                      <w:highlight w:val="none"/>
                    </w:rPr>
                    <w:object>
                      <v:shape id="_x0000_i1047" o:spt="75" type="#_x0000_t75" style="height:17.25pt;width:13.9pt;" o:ole="t" filled="f" o:preferrelative="t" stroked="f" coordsize="21600,21600">
                        <v:path/>
                        <v:fill on="f" focussize="0,0"/>
                        <v:stroke on="f" joinstyle="miter"/>
                        <v:imagedata r:id="rId56" o:title=""/>
                        <o:lock v:ext="edit" aspectratio="t"/>
                        <w10:wrap type="none"/>
                        <w10:anchorlock/>
                      </v:shape>
                      <o:OLEObject Type="Embed" ProgID="Equation.KSEE3" ShapeID="_x0000_i1047" DrawAspect="Content" ObjectID="_1468075747" r:id="rId60">
                        <o:LockedField>false</o:LockedField>
                      </o:OLEObject>
                    </w:objec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3.6</w:t>
                  </w:r>
                  <w:r>
                    <w:rPr>
                      <w:rFonts w:hint="eastAsia" w:ascii="宋体" w:hAnsi="宋体" w:eastAsia="宋体" w:cs="宋体"/>
                      <w:color w:val="auto"/>
                      <w:kern w:val="0"/>
                      <w:sz w:val="21"/>
                      <w:szCs w:val="21"/>
                      <w:highlight w:val="none"/>
                    </w:rPr>
                    <w:t>×10</w:t>
                  </w:r>
                  <w:r>
                    <w:rPr>
                      <w:rFonts w:hint="eastAsia" w:ascii="宋体" w:hAnsi="宋体" w:eastAsia="宋体" w:cs="宋体"/>
                      <w:color w:val="auto"/>
                      <w:kern w:val="0"/>
                      <w:sz w:val="21"/>
                      <w:szCs w:val="21"/>
                      <w:highlight w:val="none"/>
                      <w:vertAlign w:val="superscript"/>
                    </w:rPr>
                    <w:t>8</w:t>
                  </w:r>
                  <w:r>
                    <w:rPr>
                      <w:rFonts w:hint="eastAsia" w:ascii="宋体" w:hAnsi="宋体" w:eastAsia="宋体" w:cs="宋体"/>
                      <w:color w:val="auto"/>
                      <w:kern w:val="0"/>
                      <w:sz w:val="21"/>
                      <w:szCs w:val="21"/>
                      <w:highlight w:val="none"/>
                    </w:rPr>
                    <w:t>μSv·m</w:t>
                  </w:r>
                  <w:r>
                    <w:rPr>
                      <w:rFonts w:hint="eastAsia" w:ascii="宋体" w:hAnsi="宋体" w:eastAsia="宋体" w:cs="宋体"/>
                      <w:color w:val="auto"/>
                      <w:kern w:val="0"/>
                      <w:sz w:val="21"/>
                      <w:szCs w:val="21"/>
                      <w:highlight w:val="none"/>
                      <w:vertAlign w:val="superscript"/>
                    </w:rPr>
                    <w:t>2</w:t>
                  </w:r>
                  <w:r>
                    <w:rPr>
                      <w:rFonts w:hint="eastAsia" w:ascii="宋体" w:hAnsi="宋体" w:eastAsia="宋体" w:cs="宋体"/>
                      <w:color w:val="auto"/>
                      <w:kern w:val="0"/>
                      <w:sz w:val="21"/>
                      <w:szCs w:val="21"/>
                      <w:highlight w:val="none"/>
                    </w:rPr>
                    <w:t>·h</w:t>
                  </w:r>
                  <w:r>
                    <w:rPr>
                      <w:rFonts w:hint="eastAsia" w:ascii="宋体" w:hAnsi="宋体" w:eastAsia="宋体" w:cs="宋体"/>
                      <w:color w:val="auto"/>
                      <w:kern w:val="0"/>
                      <w:sz w:val="21"/>
                      <w:szCs w:val="21"/>
                      <w:highlight w:val="none"/>
                      <w:vertAlign w:val="superscript"/>
                    </w:rPr>
                    <w:t>-1</w:t>
                  </w:r>
                  <w:r>
                    <w:rPr>
                      <w:rFonts w:hint="eastAsia" w:ascii="宋体" w:hAnsi="宋体" w:eastAsia="宋体" w:cs="宋体"/>
                      <w:color w:val="auto"/>
                      <w:kern w:val="0"/>
                      <w:sz w:val="21"/>
                      <w:szCs w:val="21"/>
                      <w:highlight w:val="none"/>
                    </w:rPr>
                    <w:t>；</w:t>
                  </w:r>
                  <w:r>
                    <w:rPr>
                      <w:rFonts w:hint="eastAsia" w:ascii="宋体" w:hAnsi="宋体" w:eastAsia="宋体" w:cs="宋体"/>
                      <w:i/>
                      <w:iCs/>
                      <w:color w:val="auto"/>
                      <w:kern w:val="0"/>
                      <w:sz w:val="21"/>
                      <w:szCs w:val="21"/>
                      <w:highlight w:val="none"/>
                    </w:rPr>
                    <w:t>α</w:t>
                  </w:r>
                  <w:r>
                    <w:rPr>
                      <w:rFonts w:hint="eastAsia" w:ascii="宋体" w:hAnsi="宋体" w:eastAsia="宋体" w:cs="宋体"/>
                      <w:color w:val="auto"/>
                      <w:kern w:val="0"/>
                      <w:sz w:val="21"/>
                      <w:szCs w:val="21"/>
                      <w:highlight w:val="none"/>
                      <w:vertAlign w:val="subscript"/>
                    </w:rPr>
                    <w:t>ph</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3.18</w:t>
                  </w:r>
                  <w:r>
                    <w:rPr>
                      <w:rFonts w:hint="eastAsia" w:ascii="宋体" w:hAnsi="宋体" w:eastAsia="宋体" w:cs="宋体"/>
                      <w:color w:val="auto"/>
                      <w:kern w:val="0"/>
                      <w:sz w:val="21"/>
                      <w:szCs w:val="21"/>
                      <w:highlight w:val="none"/>
                    </w:rPr>
                    <w:t>×10</w:t>
                  </w:r>
                  <w:r>
                    <w:rPr>
                      <w:rFonts w:hint="eastAsia" w:ascii="宋体" w:hAnsi="宋体" w:eastAsia="宋体" w:cs="宋体"/>
                      <w:color w:val="auto"/>
                      <w:kern w:val="0"/>
                      <w:sz w:val="21"/>
                      <w:szCs w:val="21"/>
                      <w:highlight w:val="none"/>
                      <w:vertAlign w:val="superscript"/>
                    </w:rPr>
                    <w:t>-3</w:t>
                  </w:r>
                  <w:r>
                    <w:rPr>
                      <w:rFonts w:hint="eastAsia" w:ascii="宋体" w:hAnsi="宋体" w:eastAsia="宋体" w:cs="宋体"/>
                      <w:color w:val="auto"/>
                      <w:kern w:val="0"/>
                      <w:sz w:val="21"/>
                      <w:szCs w:val="21"/>
                      <w:highlight w:val="none"/>
                    </w:rPr>
                    <w:t>；</w:t>
                  </w:r>
                  <w:r>
                    <w:rPr>
                      <w:rFonts w:hint="eastAsia" w:ascii="宋体" w:hAnsi="宋体" w:eastAsia="宋体" w:cs="宋体"/>
                      <w:i/>
                      <w:iCs/>
                      <w:color w:val="auto"/>
                      <w:kern w:val="0"/>
                      <w:sz w:val="21"/>
                      <w:szCs w:val="21"/>
                      <w:highlight w:val="none"/>
                    </w:rPr>
                    <w:t>TVL</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28</w:t>
                  </w:r>
                  <w:r>
                    <w:rPr>
                      <w:rFonts w:hint="eastAsia" w:ascii="宋体" w:hAnsi="宋体" w:eastAsia="宋体" w:cs="宋体"/>
                      <w:color w:val="auto"/>
                      <w:kern w:val="0"/>
                      <w:sz w:val="21"/>
                      <w:szCs w:val="21"/>
                      <w:highlight w:val="none"/>
                    </w:rPr>
                    <w:t>cm；</w:t>
                  </w:r>
                </w:p>
                <w:p>
                  <w:pPr>
                    <w:spacing w:line="240" w:lineRule="auto"/>
                    <w:jc w:val="center"/>
                    <w:rPr>
                      <w:rFonts w:hint="eastAsia" w:ascii="宋体" w:hAnsi="宋体" w:eastAsia="宋体" w:cs="宋体"/>
                      <w:color w:val="auto"/>
                      <w:kern w:val="0"/>
                      <w:position w:val="-6"/>
                      <w:sz w:val="21"/>
                      <w:szCs w:val="21"/>
                      <w:highlight w:val="none"/>
                    </w:rPr>
                  </w:pPr>
                  <w:r>
                    <w:rPr>
                      <w:rFonts w:hint="eastAsia" w:ascii="宋体" w:hAnsi="宋体" w:eastAsia="宋体" w:cs="宋体"/>
                      <w:i/>
                      <w:iCs/>
                      <w:color w:val="auto"/>
                      <w:kern w:val="0"/>
                      <w:position w:val="-6"/>
                      <w:sz w:val="21"/>
                      <w:szCs w:val="21"/>
                      <w:highlight w:val="none"/>
                    </w:rPr>
                    <w:t>F</w:t>
                  </w:r>
                  <w:r>
                    <w:rPr>
                      <w:rFonts w:hint="eastAsia" w:ascii="宋体" w:hAnsi="宋体" w:eastAsia="宋体" w:cs="宋体"/>
                      <w:color w:val="auto"/>
                      <w:kern w:val="0"/>
                      <w:position w:val="-6"/>
                      <w:sz w:val="21"/>
                      <w:szCs w:val="21"/>
                      <w:highlight w:val="none"/>
                    </w:rPr>
                    <w:t>=40×40=1600cm</w:t>
                  </w:r>
                  <w:r>
                    <w:rPr>
                      <w:rFonts w:hint="eastAsia" w:ascii="宋体" w:hAnsi="宋体" w:eastAsia="宋体" w:cs="宋体"/>
                      <w:color w:val="auto"/>
                      <w:kern w:val="0"/>
                      <w:position w:val="-6"/>
                      <w:sz w:val="21"/>
                      <w:szCs w:val="21"/>
                      <w:highlight w:val="none"/>
                      <w:vertAlign w:val="superscript"/>
                    </w:rPr>
                    <w:t>2</w:t>
                  </w:r>
                  <w:r>
                    <w:rPr>
                      <w:rFonts w:hint="eastAsia" w:ascii="宋体" w:hAnsi="宋体" w:eastAsia="宋体" w:cs="宋体"/>
                      <w:color w:val="auto"/>
                      <w:kern w:val="0"/>
                      <w:position w:val="-6"/>
                      <w:sz w:val="21"/>
                      <w:szCs w:val="21"/>
                      <w:highlight w:val="none"/>
                    </w:rPr>
                    <w:t>；</w:t>
                  </w:r>
                </w:p>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i/>
                      <w:iCs/>
                      <w:color w:val="auto"/>
                      <w:kern w:val="0"/>
                      <w:sz w:val="21"/>
                      <w:szCs w:val="21"/>
                      <w:highlight w:val="none"/>
                    </w:rPr>
                    <w:t>X</w:t>
                  </w:r>
                  <w:r>
                    <w:rPr>
                      <w:rFonts w:hint="eastAsia" w:ascii="宋体" w:hAnsi="宋体" w:eastAsia="宋体" w:cs="宋体"/>
                      <w:color w:val="auto"/>
                      <w:kern w:val="0"/>
                      <w:sz w:val="21"/>
                      <w:szCs w:val="21"/>
                      <w:highlight w:val="none"/>
                    </w:rPr>
                    <w:t>=</w:t>
                  </w:r>
                  <w:r>
                    <w:rPr>
                      <w:rFonts w:hint="eastAsia" w:ascii="宋体" w:hAnsi="宋体" w:eastAsia="宋体" w:cs="宋体"/>
                      <w:i/>
                      <w:iCs/>
                      <w:color w:val="auto"/>
                      <w:kern w:val="0"/>
                      <w:sz w:val="21"/>
                      <w:szCs w:val="21"/>
                      <w:highlight w:val="none"/>
                    </w:rPr>
                    <w:t>Xe/cos</w:t>
                  </w:r>
                  <w:r>
                    <w:rPr>
                      <w:rFonts w:hint="eastAsia" w:ascii="宋体" w:hAnsi="宋体" w:eastAsia="宋体" w:cs="宋体"/>
                      <w:color w:val="auto"/>
                      <w:kern w:val="0"/>
                      <w:sz w:val="21"/>
                      <w:szCs w:val="21"/>
                      <w:highlight w:val="none"/>
                    </w:rPr>
                    <w:t>30°</w:t>
                  </w:r>
                  <w:r>
                    <w:rPr>
                      <w:rFonts w:hint="eastAsia" w:ascii="宋体" w:hAnsi="宋体" w:eastAsia="宋体" w:cs="宋体"/>
                      <w:color w:val="auto"/>
                      <w:kern w:val="0"/>
                      <w:position w:val="-6"/>
                      <w:sz w:val="21"/>
                      <w:szCs w:val="21"/>
                      <w:highlight w:val="none"/>
                    </w:rPr>
                    <w:t>=</w:t>
                  </w:r>
                  <w:r>
                    <w:rPr>
                      <w:rFonts w:hint="eastAsia" w:ascii="宋体" w:hAnsi="宋体" w:eastAsia="宋体" w:cs="宋体"/>
                      <w:color w:val="auto"/>
                      <w:kern w:val="0"/>
                      <w:position w:val="-6"/>
                      <w:sz w:val="21"/>
                      <w:szCs w:val="21"/>
                      <w:highlight w:val="none"/>
                      <w:lang w:val="en-US" w:eastAsia="zh-CN"/>
                    </w:rPr>
                    <w:t>196.3</w:t>
                  </w:r>
                  <w:r>
                    <w:rPr>
                      <w:rFonts w:hint="eastAsia" w:ascii="宋体" w:hAnsi="宋体" w:eastAsia="宋体" w:cs="宋体"/>
                      <w:color w:val="auto"/>
                      <w:kern w:val="0"/>
                      <w:position w:val="-6"/>
                      <w:sz w:val="21"/>
                      <w:szCs w:val="21"/>
                      <w:highlight w:val="none"/>
                    </w:rPr>
                    <w:t>cm</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position w:val="-6"/>
                      <w:sz w:val="21"/>
                      <w:szCs w:val="21"/>
                      <w:highlight w:val="none"/>
                    </w:rPr>
                    <w:object>
                      <v:shape id="_x0000_i1048" o:spt="75" type="#_x0000_t75" style="height:11.25pt;width:93.75pt;" o:ole="t" filled="f" o:preferrelative="t" stroked="f" coordsize="21600,21600">
                        <v:path/>
                        <v:fill on="f" focussize="0,0"/>
                        <v:stroke on="f" joinstyle="miter"/>
                        <v:imagedata r:id="rId62" o:title=""/>
                        <o:lock v:ext="edit" aspectratio="t"/>
                        <w10:wrap type="none"/>
                        <w10:anchorlock/>
                      </v:shape>
                      <o:OLEObject Type="Embed" ProgID="Equations" ShapeID="_x0000_i1048" DrawAspect="Content" ObjectID="_1468075748" r:id="rId61">
                        <o:LockedField>false</o:LockedField>
                      </o:OLEObject>
                    </w:object>
                  </w:r>
                  <w:r>
                    <w:rPr>
                      <w:rFonts w:hint="eastAsia" w:ascii="宋体" w:hAnsi="宋体" w:eastAsia="宋体" w:cs="宋体"/>
                      <w:color w:val="auto"/>
                      <w:kern w:val="0"/>
                      <w:position w:val="-6"/>
                      <w:sz w:val="21"/>
                      <w:szCs w:val="21"/>
                      <w:highlight w:val="none"/>
                    </w:rPr>
                    <w:t>=</w:t>
                  </w:r>
                  <w:r>
                    <w:rPr>
                      <w:rFonts w:hint="eastAsia" w:ascii="宋体" w:hAnsi="宋体" w:eastAsia="宋体" w:cs="宋体"/>
                      <w:color w:val="auto"/>
                      <w:kern w:val="0"/>
                      <w:position w:val="-6"/>
                      <w:sz w:val="21"/>
                      <w:szCs w:val="21"/>
                      <w:highlight w:val="none"/>
                      <w:lang w:val="en-US" w:eastAsia="zh-CN"/>
                    </w:rPr>
                    <w:t>9.76</w:t>
                  </w:r>
                  <w:r>
                    <w:rPr>
                      <w:rFonts w:hint="eastAsia" w:ascii="宋体" w:hAnsi="宋体" w:eastAsia="宋体" w:cs="宋体"/>
                      <w:color w:val="auto"/>
                      <w:kern w:val="0"/>
                      <w:position w:val="-6"/>
                      <w:sz w:val="21"/>
                      <w:szCs w:val="21"/>
                      <w:highlight w:val="none"/>
                    </w:rPr>
                    <w:t>×10</w:t>
                  </w:r>
                  <w:r>
                    <w:rPr>
                      <w:rFonts w:hint="eastAsia" w:ascii="宋体" w:hAnsi="宋体" w:eastAsia="宋体" w:cs="宋体"/>
                      <w:color w:val="auto"/>
                      <w:kern w:val="0"/>
                      <w:position w:val="-6"/>
                      <w:sz w:val="21"/>
                      <w:szCs w:val="21"/>
                      <w:highlight w:val="none"/>
                      <w:vertAlign w:val="superscript"/>
                    </w:rPr>
                    <w:t>-</w:t>
                  </w:r>
                  <w:r>
                    <w:rPr>
                      <w:rFonts w:hint="eastAsia" w:ascii="宋体" w:hAnsi="宋体" w:eastAsia="宋体" w:cs="宋体"/>
                      <w:color w:val="auto"/>
                      <w:kern w:val="0"/>
                      <w:position w:val="-6"/>
                      <w:sz w:val="21"/>
                      <w:szCs w:val="21"/>
                      <w:highlight w:val="none"/>
                      <w:vertAlign w:val="superscript"/>
                      <w:lang w:val="en-US" w:eastAsia="zh-CN"/>
                    </w:rPr>
                    <w:t>8</w:t>
                  </w:r>
                  <w:r>
                    <w:rPr>
                      <w:rFonts w:hint="eastAsia" w:ascii="宋体" w:hAnsi="宋体" w:eastAsia="宋体" w:cs="宋体"/>
                      <w:color w:val="auto"/>
                      <w:kern w:val="0"/>
                      <w:position w:val="-6"/>
                      <w:sz w:val="21"/>
                      <w:szCs w:val="21"/>
                      <w:highlight w:val="none"/>
                    </w:rPr>
                    <w:t>；</w:t>
                  </w:r>
                  <w:r>
                    <w:rPr>
                      <w:rFonts w:hint="eastAsia" w:ascii="宋体" w:hAnsi="宋体" w:eastAsia="宋体" w:cs="宋体"/>
                      <w:i/>
                      <w:iCs/>
                      <w:color w:val="auto"/>
                      <w:kern w:val="0"/>
                      <w:position w:val="-6"/>
                      <w:sz w:val="21"/>
                      <w:szCs w:val="21"/>
                      <w:highlight w:val="none"/>
                    </w:rPr>
                    <w:t>Rs</w:t>
                  </w:r>
                  <w:r>
                    <w:rPr>
                      <w:rFonts w:hint="eastAsia" w:ascii="宋体" w:hAnsi="宋体" w:eastAsia="宋体" w:cs="宋体"/>
                      <w:color w:val="auto"/>
                      <w:kern w:val="0"/>
                      <w:position w:val="-6"/>
                      <w:sz w:val="21"/>
                      <w:szCs w:val="21"/>
                      <w:highlight w:val="none"/>
                    </w:rPr>
                    <w:t>=</w:t>
                  </w:r>
                  <w:r>
                    <w:rPr>
                      <w:rFonts w:hint="eastAsia" w:ascii="宋体" w:hAnsi="宋体" w:eastAsia="宋体" w:cs="宋体"/>
                      <w:color w:val="auto"/>
                      <w:kern w:val="0"/>
                      <w:position w:val="-6"/>
                      <w:sz w:val="21"/>
                      <w:szCs w:val="21"/>
                      <w:highlight w:val="none"/>
                      <w:lang w:val="en-US" w:eastAsia="zh-CN"/>
                    </w:rPr>
                    <w:t>7.65</w:t>
                  </w:r>
                  <w:r>
                    <w:rPr>
                      <w:rFonts w:hint="eastAsia" w:ascii="宋体" w:hAnsi="宋体" w:eastAsia="宋体" w:cs="宋体"/>
                      <w:color w:val="auto"/>
                      <w:kern w:val="0"/>
                      <w:position w:val="-6"/>
                      <w:sz w:val="21"/>
                      <w:szCs w:val="21"/>
                      <w:highlight w:val="none"/>
                    </w:rPr>
                    <w:t>m</w:t>
                  </w:r>
                </w:p>
              </w:tc>
              <w:tc>
                <w:tcPr>
                  <w:tcW w:w="1080" w:type="dxa"/>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0.008</w:t>
                  </w:r>
                </w:p>
              </w:tc>
              <w:tc>
                <w:tcPr>
                  <w:tcW w:w="879" w:type="dxa"/>
                  <w:vMerge w:val="continue"/>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87" w:type="dxa"/>
                  <w:vMerge w:val="continue"/>
                  <w:tcBorders>
                    <w:tl2br w:val="nil"/>
                    <w:tr2bl w:val="nil"/>
                  </w:tcBorders>
                  <w:vAlign w:val="center"/>
                </w:tcPr>
                <w:p>
                  <w:pPr>
                    <w:spacing w:line="240" w:lineRule="auto"/>
                    <w:jc w:val="center"/>
                    <w:rPr>
                      <w:rFonts w:hint="eastAsia" w:ascii="宋体" w:hAnsi="宋体" w:eastAsia="宋体" w:cs="宋体"/>
                      <w:color w:val="0000FF"/>
                      <w:kern w:val="0"/>
                      <w:sz w:val="21"/>
                      <w:szCs w:val="21"/>
                      <w:highlight w:val="none"/>
                    </w:rPr>
                  </w:pPr>
                </w:p>
              </w:tc>
              <w:tc>
                <w:tcPr>
                  <w:tcW w:w="1286" w:type="dxa"/>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lang w:val="en-US" w:eastAsia="zh-CN"/>
                    </w:rPr>
                    <w:t>3</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北</w:t>
                  </w:r>
                  <w:r>
                    <w:rPr>
                      <w:rFonts w:hint="eastAsia" w:ascii="宋体" w:hAnsi="宋体" w:eastAsia="宋体" w:cs="宋体"/>
                      <w:color w:val="auto"/>
                      <w:kern w:val="0"/>
                      <w:sz w:val="21"/>
                      <w:szCs w:val="21"/>
                      <w:highlight w:val="none"/>
                    </w:rPr>
                    <w:t>侧屏蔽墙外）</w:t>
                  </w:r>
                </w:p>
              </w:tc>
              <w:tc>
                <w:tcPr>
                  <w:tcW w:w="1408" w:type="dxa"/>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泄漏辐射</w:t>
                  </w:r>
                </w:p>
              </w:tc>
              <w:tc>
                <w:tcPr>
                  <w:tcW w:w="3482" w:type="dxa"/>
                  <w:tcBorders>
                    <w:tl2br w:val="nil"/>
                    <w:tr2bl w:val="nil"/>
                  </w:tcBorders>
                  <w:vAlign w:val="top"/>
                </w:tcPr>
                <w:p>
                  <w:pPr>
                    <w:spacing w:line="240" w:lineRule="auto"/>
                    <w:jc w:val="center"/>
                    <w:rPr>
                      <w:rFonts w:hint="eastAsia" w:ascii="宋体" w:hAnsi="宋体" w:eastAsia="宋体" w:cs="宋体"/>
                      <w:color w:val="auto"/>
                      <w:kern w:val="0"/>
                      <w:position w:val="-6"/>
                      <w:sz w:val="21"/>
                      <w:szCs w:val="21"/>
                      <w:highlight w:val="none"/>
                      <w:lang w:val="en-US" w:eastAsia="zh-CN"/>
                    </w:rPr>
                  </w:pPr>
                  <w:r>
                    <w:rPr>
                      <w:rFonts w:hint="eastAsia" w:ascii="宋体" w:hAnsi="宋体" w:eastAsia="宋体" w:cs="宋体"/>
                      <w:color w:val="auto"/>
                      <w:kern w:val="0"/>
                      <w:position w:val="-6"/>
                      <w:sz w:val="21"/>
                      <w:szCs w:val="21"/>
                      <w:highlight w:val="none"/>
                    </w:rPr>
                    <w:object>
                      <v:shape id="_x0000_i1049" o:spt="75" type="#_x0000_t75" style="height:17.25pt;width:13.9pt;" o:ole="t" filled="f" o:preferrelative="t" stroked="f" coordsize="21600,21600">
                        <v:path/>
                        <v:fill on="f" focussize="0,0"/>
                        <v:stroke on="f" joinstyle="miter"/>
                        <v:imagedata r:id="rId56" o:title=""/>
                        <o:lock v:ext="edit" aspectratio="t"/>
                        <w10:wrap type="none"/>
                        <w10:anchorlock/>
                      </v:shape>
                      <o:OLEObject Type="Embed" ProgID="Equation.KSEE3" ShapeID="_x0000_i1049" DrawAspect="Content" ObjectID="_1468075749" r:id="rId63">
                        <o:LockedField>false</o:LockedField>
                      </o:OLEObject>
                    </w:objec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3.6</w:t>
                  </w:r>
                  <w:r>
                    <w:rPr>
                      <w:rFonts w:hint="eastAsia" w:ascii="宋体" w:hAnsi="宋体" w:eastAsia="宋体" w:cs="宋体"/>
                      <w:color w:val="auto"/>
                      <w:kern w:val="0"/>
                      <w:sz w:val="21"/>
                      <w:szCs w:val="21"/>
                      <w:highlight w:val="none"/>
                    </w:rPr>
                    <w:t>×10</w:t>
                  </w:r>
                  <w:r>
                    <w:rPr>
                      <w:rFonts w:hint="eastAsia" w:ascii="宋体" w:hAnsi="宋体" w:eastAsia="宋体" w:cs="宋体"/>
                      <w:color w:val="auto"/>
                      <w:kern w:val="0"/>
                      <w:sz w:val="21"/>
                      <w:szCs w:val="21"/>
                      <w:highlight w:val="none"/>
                      <w:vertAlign w:val="superscript"/>
                    </w:rPr>
                    <w:t>8</w:t>
                  </w:r>
                  <w:r>
                    <w:rPr>
                      <w:rFonts w:hint="eastAsia" w:ascii="宋体" w:hAnsi="宋体" w:eastAsia="宋体" w:cs="宋体"/>
                      <w:color w:val="auto"/>
                      <w:kern w:val="0"/>
                      <w:sz w:val="21"/>
                      <w:szCs w:val="21"/>
                      <w:highlight w:val="none"/>
                    </w:rPr>
                    <w:t>μSv·m</w:t>
                  </w:r>
                  <w:r>
                    <w:rPr>
                      <w:rFonts w:hint="eastAsia" w:ascii="宋体" w:hAnsi="宋体" w:eastAsia="宋体" w:cs="宋体"/>
                      <w:color w:val="auto"/>
                      <w:kern w:val="0"/>
                      <w:sz w:val="21"/>
                      <w:szCs w:val="21"/>
                      <w:highlight w:val="none"/>
                      <w:vertAlign w:val="superscript"/>
                    </w:rPr>
                    <w:t>2</w:t>
                  </w:r>
                  <w:r>
                    <w:rPr>
                      <w:rFonts w:hint="eastAsia" w:ascii="宋体" w:hAnsi="宋体" w:eastAsia="宋体" w:cs="宋体"/>
                      <w:color w:val="auto"/>
                      <w:kern w:val="0"/>
                      <w:sz w:val="21"/>
                      <w:szCs w:val="21"/>
                      <w:highlight w:val="none"/>
                    </w:rPr>
                    <w:t>·h</w:t>
                  </w:r>
                  <w:r>
                    <w:rPr>
                      <w:rFonts w:hint="eastAsia" w:ascii="宋体" w:hAnsi="宋体" w:eastAsia="宋体" w:cs="宋体"/>
                      <w:color w:val="auto"/>
                      <w:kern w:val="0"/>
                      <w:sz w:val="21"/>
                      <w:szCs w:val="21"/>
                      <w:highlight w:val="none"/>
                      <w:vertAlign w:val="superscript"/>
                    </w:rPr>
                    <w:t>-1</w:t>
                  </w:r>
                  <w:r>
                    <w:rPr>
                      <w:rFonts w:hint="eastAsia" w:ascii="宋体" w:hAnsi="宋体" w:eastAsia="宋体" w:cs="宋体"/>
                      <w:color w:val="auto"/>
                      <w:kern w:val="0"/>
                      <w:sz w:val="21"/>
                      <w:szCs w:val="21"/>
                      <w:highlight w:val="none"/>
                    </w:rPr>
                    <w:t>；</w:t>
                  </w:r>
                  <w:r>
                    <w:rPr>
                      <w:rFonts w:hint="eastAsia" w:ascii="宋体" w:hAnsi="宋体" w:eastAsia="宋体" w:cs="宋体"/>
                      <w:i/>
                      <w:iCs/>
                      <w:color w:val="auto"/>
                      <w:kern w:val="0"/>
                      <w:sz w:val="21"/>
                      <w:szCs w:val="21"/>
                      <w:highlight w:val="none"/>
                    </w:rPr>
                    <w:t>f</w:t>
                  </w:r>
                  <w:r>
                    <w:rPr>
                      <w:rFonts w:hint="eastAsia" w:ascii="宋体" w:hAnsi="宋体" w:eastAsia="宋体" w:cs="宋体"/>
                      <w:color w:val="auto"/>
                      <w:kern w:val="0"/>
                      <w:sz w:val="21"/>
                      <w:szCs w:val="21"/>
                      <w:highlight w:val="none"/>
                    </w:rPr>
                    <w:t>=10</w:t>
                  </w:r>
                  <w:r>
                    <w:rPr>
                      <w:rFonts w:hint="eastAsia" w:ascii="宋体" w:hAnsi="宋体" w:eastAsia="宋体" w:cs="宋体"/>
                      <w:color w:val="auto"/>
                      <w:kern w:val="0"/>
                      <w:sz w:val="21"/>
                      <w:szCs w:val="21"/>
                      <w:highlight w:val="none"/>
                      <w:vertAlign w:val="superscript"/>
                    </w:rPr>
                    <w:t>-3</w:t>
                  </w:r>
                  <w:r>
                    <w:rPr>
                      <w:rFonts w:hint="eastAsia" w:ascii="宋体" w:hAnsi="宋体" w:eastAsia="宋体" w:cs="宋体"/>
                      <w:color w:val="auto"/>
                      <w:kern w:val="0"/>
                      <w:sz w:val="21"/>
                      <w:szCs w:val="21"/>
                      <w:highlight w:val="none"/>
                    </w:rPr>
                    <w:t>；</w:t>
                  </w:r>
                  <w:r>
                    <w:rPr>
                      <w:rFonts w:hint="eastAsia" w:ascii="宋体" w:hAnsi="宋体" w:eastAsia="宋体" w:cs="宋体"/>
                      <w:i/>
                      <w:iCs/>
                      <w:color w:val="auto"/>
                      <w:kern w:val="0"/>
                      <w:sz w:val="21"/>
                      <w:szCs w:val="21"/>
                      <w:highlight w:val="none"/>
                    </w:rPr>
                    <w:t>R</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5.5</w:t>
                  </w:r>
                  <w:r>
                    <w:rPr>
                      <w:rFonts w:hint="eastAsia" w:ascii="宋体" w:hAnsi="宋体" w:eastAsia="宋体" w:cs="宋体"/>
                      <w:color w:val="auto"/>
                      <w:kern w:val="0"/>
                      <w:sz w:val="21"/>
                      <w:szCs w:val="21"/>
                      <w:highlight w:val="none"/>
                    </w:rPr>
                    <w:t>m；</w:t>
                  </w:r>
                  <w:r>
                    <w:rPr>
                      <w:rFonts w:hint="eastAsia" w:ascii="宋体" w:hAnsi="宋体" w:eastAsia="宋体" w:cs="宋体"/>
                      <w:i/>
                      <w:iCs/>
                      <w:color w:val="auto"/>
                      <w:kern w:val="0"/>
                      <w:sz w:val="21"/>
                      <w:szCs w:val="21"/>
                      <w:highlight w:val="none"/>
                    </w:rPr>
                    <w:t>TVL</w:t>
                  </w:r>
                  <w:r>
                    <w:rPr>
                      <w:rFonts w:hint="eastAsia" w:ascii="宋体" w:hAnsi="宋体" w:eastAsia="宋体" w:cs="宋体"/>
                      <w:color w:val="auto"/>
                      <w:kern w:val="0"/>
                      <w:sz w:val="21"/>
                      <w:szCs w:val="21"/>
                      <w:highlight w:val="none"/>
                      <w:vertAlign w:val="subscript"/>
                    </w:rPr>
                    <w:t>1</w:t>
                  </w:r>
                  <w:r>
                    <w:rPr>
                      <w:rFonts w:hint="eastAsia" w:ascii="宋体" w:hAnsi="宋体" w:eastAsia="宋体" w:cs="宋体"/>
                      <w:color w:val="auto"/>
                      <w:kern w:val="0"/>
                      <w:sz w:val="21"/>
                      <w:szCs w:val="21"/>
                      <w:highlight w:val="none"/>
                    </w:rPr>
                    <w:t>=3</w:t>
                  </w:r>
                  <w:r>
                    <w:rPr>
                      <w:rFonts w:hint="eastAsia" w:ascii="宋体" w:hAnsi="宋体" w:eastAsia="宋体" w:cs="宋体"/>
                      <w:color w:val="auto"/>
                      <w:kern w:val="0"/>
                      <w:sz w:val="21"/>
                      <w:szCs w:val="21"/>
                      <w:highlight w:val="none"/>
                      <w:lang w:val="en-US" w:eastAsia="zh-CN"/>
                    </w:rPr>
                    <w:t>5</w:t>
                  </w:r>
                  <w:r>
                    <w:rPr>
                      <w:rFonts w:hint="eastAsia" w:ascii="宋体" w:hAnsi="宋体" w:eastAsia="宋体" w:cs="宋体"/>
                      <w:color w:val="auto"/>
                      <w:kern w:val="0"/>
                      <w:sz w:val="21"/>
                      <w:szCs w:val="21"/>
                      <w:highlight w:val="none"/>
                    </w:rPr>
                    <w:t>cm；</w:t>
                  </w:r>
                  <w:r>
                    <w:rPr>
                      <w:rFonts w:hint="eastAsia" w:ascii="宋体" w:hAnsi="宋体" w:eastAsia="宋体" w:cs="宋体"/>
                      <w:i/>
                      <w:iCs/>
                      <w:color w:val="auto"/>
                      <w:kern w:val="0"/>
                      <w:sz w:val="21"/>
                      <w:szCs w:val="21"/>
                      <w:highlight w:val="none"/>
                    </w:rPr>
                    <w:t>TVL</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31</w:t>
                  </w:r>
                  <w:r>
                    <w:rPr>
                      <w:rFonts w:hint="eastAsia" w:ascii="宋体" w:hAnsi="宋体" w:eastAsia="宋体" w:cs="宋体"/>
                      <w:color w:val="auto"/>
                      <w:kern w:val="0"/>
                      <w:sz w:val="21"/>
                      <w:szCs w:val="21"/>
                      <w:highlight w:val="none"/>
                    </w:rPr>
                    <w:t>cm；</w:t>
                  </w:r>
                  <w:r>
                    <w:rPr>
                      <w:rFonts w:hint="eastAsia" w:ascii="宋体" w:hAnsi="宋体" w:eastAsia="宋体" w:cs="宋体"/>
                      <w:i/>
                      <w:iCs/>
                      <w:color w:val="auto"/>
                      <w:kern w:val="0"/>
                      <w:sz w:val="21"/>
                      <w:szCs w:val="21"/>
                      <w:highlight w:val="none"/>
                    </w:rPr>
                    <w:t>X</w:t>
                  </w:r>
                  <w:r>
                    <w:rPr>
                      <w:rFonts w:hint="eastAsia" w:ascii="宋体" w:hAnsi="宋体" w:eastAsia="宋体" w:cs="宋体"/>
                      <w:color w:val="auto"/>
                      <w:kern w:val="0"/>
                      <w:sz w:val="21"/>
                      <w:szCs w:val="21"/>
                      <w:highlight w:val="none"/>
                    </w:rPr>
                    <w:t>=</w:t>
                  </w:r>
                  <w:r>
                    <w:rPr>
                      <w:rFonts w:hint="eastAsia" w:ascii="宋体" w:hAnsi="宋体" w:eastAsia="宋体" w:cs="宋体"/>
                      <w:i/>
                      <w:iCs/>
                      <w:color w:val="auto"/>
                      <w:kern w:val="0"/>
                      <w:sz w:val="21"/>
                      <w:szCs w:val="21"/>
                      <w:highlight w:val="none"/>
                    </w:rPr>
                    <w:t>Xe</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150</w:t>
                  </w:r>
                  <w:r>
                    <w:rPr>
                      <w:rFonts w:hint="eastAsia" w:ascii="宋体" w:hAnsi="宋体" w:eastAsia="宋体" w:cs="宋体"/>
                      <w:color w:val="auto"/>
                      <w:kern w:val="0"/>
                      <w:sz w:val="21"/>
                      <w:szCs w:val="21"/>
                      <w:highlight w:val="none"/>
                    </w:rPr>
                    <w:t>cm；</w:t>
                  </w:r>
                  <w:r>
                    <w:rPr>
                      <w:rFonts w:hint="eastAsia" w:ascii="宋体" w:hAnsi="宋体" w:eastAsia="宋体" w:cs="宋体"/>
                      <w:color w:val="auto"/>
                      <w:kern w:val="0"/>
                      <w:position w:val="-6"/>
                      <w:sz w:val="21"/>
                      <w:szCs w:val="21"/>
                      <w:highlight w:val="none"/>
                    </w:rPr>
                    <w:object>
                      <v:shape id="_x0000_i1050" o:spt="75" type="#_x0000_t75" style="height:12pt;width:94.15pt;" o:ole="t" filled="f" o:preferrelative="t" stroked="f" coordsize="21600,21600">
                        <v:path/>
                        <v:fill on="f" focussize="0,0"/>
                        <v:stroke on="f" joinstyle="miter"/>
                        <v:imagedata r:id="rId28" o:title=""/>
                        <o:lock v:ext="edit" aspectratio="t"/>
                        <w10:wrap type="none"/>
                        <w10:anchorlock/>
                      </v:shape>
                      <o:OLEObject Type="Embed" ProgID="Equations" ShapeID="_x0000_i1050" DrawAspect="Content" ObjectID="_1468075750" r:id="rId64">
                        <o:LockedField>false</o:LockedField>
                      </o:OLEObject>
                    </w:object>
                  </w:r>
                  <w:r>
                    <w:rPr>
                      <w:rFonts w:hint="eastAsia" w:ascii="宋体" w:hAnsi="宋体" w:eastAsia="宋体" w:cs="宋体"/>
                      <w:color w:val="auto"/>
                      <w:kern w:val="0"/>
                      <w:position w:val="-6"/>
                      <w:sz w:val="21"/>
                      <w:szCs w:val="21"/>
                      <w:highlight w:val="none"/>
                    </w:rPr>
                    <w:t>=</w:t>
                  </w:r>
                  <w:r>
                    <w:rPr>
                      <w:rFonts w:hint="eastAsia" w:ascii="宋体" w:hAnsi="宋体" w:eastAsia="宋体" w:cs="宋体"/>
                      <w:color w:val="auto"/>
                      <w:kern w:val="0"/>
                      <w:position w:val="-6"/>
                      <w:sz w:val="21"/>
                      <w:szCs w:val="21"/>
                      <w:highlight w:val="none"/>
                      <w:lang w:val="en-US" w:eastAsia="zh-CN"/>
                    </w:rPr>
                    <w:t>1.95</w:t>
                  </w:r>
                  <w:r>
                    <w:rPr>
                      <w:rFonts w:hint="eastAsia" w:ascii="宋体" w:hAnsi="宋体" w:eastAsia="宋体" w:cs="宋体"/>
                      <w:color w:val="auto"/>
                      <w:kern w:val="0"/>
                      <w:position w:val="-6"/>
                      <w:sz w:val="21"/>
                      <w:szCs w:val="21"/>
                      <w:highlight w:val="none"/>
                    </w:rPr>
                    <w:t>×10</w:t>
                  </w:r>
                  <w:r>
                    <w:rPr>
                      <w:rFonts w:hint="eastAsia" w:ascii="宋体" w:hAnsi="宋体" w:eastAsia="宋体" w:cs="宋体"/>
                      <w:color w:val="auto"/>
                      <w:kern w:val="0"/>
                      <w:position w:val="-6"/>
                      <w:sz w:val="21"/>
                      <w:szCs w:val="21"/>
                      <w:highlight w:val="none"/>
                      <w:vertAlign w:val="superscript"/>
                    </w:rPr>
                    <w:t>-</w:t>
                  </w:r>
                  <w:r>
                    <w:rPr>
                      <w:rFonts w:hint="eastAsia" w:ascii="宋体" w:hAnsi="宋体" w:eastAsia="宋体" w:cs="宋体"/>
                      <w:color w:val="auto"/>
                      <w:kern w:val="0"/>
                      <w:position w:val="-6"/>
                      <w:sz w:val="21"/>
                      <w:szCs w:val="21"/>
                      <w:highlight w:val="none"/>
                      <w:vertAlign w:val="superscript"/>
                      <w:lang w:val="en-US" w:eastAsia="zh-CN"/>
                    </w:rPr>
                    <w:t>5</w:t>
                  </w:r>
                </w:p>
              </w:tc>
              <w:tc>
                <w:tcPr>
                  <w:tcW w:w="1959" w:type="dxa"/>
                  <w:gridSpan w:val="2"/>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0.232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87" w:type="dxa"/>
                  <w:vMerge w:val="continue"/>
                  <w:tcBorders>
                    <w:tl2br w:val="nil"/>
                    <w:tr2bl w:val="nil"/>
                  </w:tcBorders>
                  <w:vAlign w:val="center"/>
                </w:tcPr>
                <w:p>
                  <w:pPr>
                    <w:spacing w:line="240" w:lineRule="auto"/>
                    <w:jc w:val="center"/>
                    <w:rPr>
                      <w:rFonts w:hint="eastAsia" w:ascii="宋体" w:hAnsi="宋体" w:eastAsia="宋体" w:cs="宋体"/>
                      <w:color w:val="0000FF"/>
                      <w:kern w:val="0"/>
                      <w:sz w:val="21"/>
                      <w:szCs w:val="21"/>
                      <w:highlight w:val="none"/>
                    </w:rPr>
                  </w:pPr>
                </w:p>
              </w:tc>
              <w:tc>
                <w:tcPr>
                  <w:tcW w:w="1286" w:type="dxa"/>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4#（</w:t>
                  </w:r>
                  <w:r>
                    <w:rPr>
                      <w:rFonts w:hint="eastAsia" w:ascii="宋体" w:hAnsi="宋体" w:eastAsia="宋体" w:cs="宋体"/>
                      <w:color w:val="auto"/>
                      <w:kern w:val="0"/>
                      <w:sz w:val="21"/>
                      <w:szCs w:val="21"/>
                      <w:highlight w:val="none"/>
                      <w:lang w:val="en-US" w:eastAsia="zh-CN"/>
                    </w:rPr>
                    <w:t>西</w:t>
                  </w:r>
                  <w:r>
                    <w:rPr>
                      <w:rFonts w:hint="eastAsia" w:ascii="宋体" w:hAnsi="宋体" w:eastAsia="宋体" w:cs="宋体"/>
                      <w:color w:val="auto"/>
                      <w:kern w:val="0"/>
                      <w:sz w:val="21"/>
                      <w:szCs w:val="21"/>
                      <w:highlight w:val="none"/>
                    </w:rPr>
                    <w:t>侧</w:t>
                  </w:r>
                  <w:r>
                    <w:rPr>
                      <w:rFonts w:hint="eastAsia" w:ascii="宋体" w:hAnsi="宋体" w:eastAsia="宋体" w:cs="宋体"/>
                      <w:color w:val="auto"/>
                      <w:kern w:val="0"/>
                      <w:sz w:val="21"/>
                      <w:szCs w:val="21"/>
                      <w:highlight w:val="none"/>
                      <w:lang w:val="en-US" w:eastAsia="zh-CN"/>
                    </w:rPr>
                    <w:t>主</w:t>
                  </w:r>
                  <w:r>
                    <w:rPr>
                      <w:rFonts w:hint="eastAsia" w:ascii="宋体" w:hAnsi="宋体" w:eastAsia="宋体" w:cs="宋体"/>
                      <w:color w:val="auto"/>
                      <w:kern w:val="0"/>
                      <w:sz w:val="21"/>
                      <w:szCs w:val="21"/>
                      <w:highlight w:val="none"/>
                    </w:rPr>
                    <w:t>屏蔽墙外）</w:t>
                  </w:r>
                </w:p>
              </w:tc>
              <w:tc>
                <w:tcPr>
                  <w:tcW w:w="1408" w:type="dxa"/>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有用线束</w:t>
                  </w:r>
                </w:p>
              </w:tc>
              <w:tc>
                <w:tcPr>
                  <w:tcW w:w="3482" w:type="dxa"/>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position w:val="-6"/>
                      <w:sz w:val="21"/>
                      <w:szCs w:val="21"/>
                      <w:highlight w:val="none"/>
                    </w:rPr>
                    <w:object>
                      <v:shape id="_x0000_i1051" o:spt="75" type="#_x0000_t75" style="height:17.25pt;width:13.9pt;" o:ole="t" filled="f" o:preferrelative="t" stroked="f" coordsize="21600,21600">
                        <v:path/>
                        <v:fill on="f" focussize="0,0"/>
                        <v:stroke on="f" joinstyle="miter"/>
                        <v:imagedata r:id="rId56" o:title=""/>
                        <o:lock v:ext="edit" aspectratio="t"/>
                        <w10:wrap type="none"/>
                        <w10:anchorlock/>
                      </v:shape>
                      <o:OLEObject Type="Embed" ProgID="Equation.KSEE3" ShapeID="_x0000_i1051" DrawAspect="Content" ObjectID="_1468075751" r:id="rId65">
                        <o:LockedField>false</o:LockedField>
                      </o:OLEObject>
                    </w:objec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3.6</w:t>
                  </w:r>
                  <w:r>
                    <w:rPr>
                      <w:rFonts w:hint="eastAsia" w:ascii="宋体" w:hAnsi="宋体" w:eastAsia="宋体" w:cs="宋体"/>
                      <w:color w:val="auto"/>
                      <w:kern w:val="0"/>
                      <w:sz w:val="21"/>
                      <w:szCs w:val="21"/>
                      <w:highlight w:val="none"/>
                    </w:rPr>
                    <w:t>×10</w:t>
                  </w:r>
                  <w:r>
                    <w:rPr>
                      <w:rFonts w:hint="eastAsia" w:ascii="宋体" w:hAnsi="宋体" w:eastAsia="宋体" w:cs="宋体"/>
                      <w:color w:val="auto"/>
                      <w:kern w:val="0"/>
                      <w:sz w:val="21"/>
                      <w:szCs w:val="21"/>
                      <w:highlight w:val="none"/>
                      <w:vertAlign w:val="superscript"/>
                    </w:rPr>
                    <w:t>8</w:t>
                  </w:r>
                  <w:r>
                    <w:rPr>
                      <w:rFonts w:hint="eastAsia" w:ascii="宋体" w:hAnsi="宋体" w:eastAsia="宋体" w:cs="宋体"/>
                      <w:color w:val="auto"/>
                      <w:kern w:val="0"/>
                      <w:sz w:val="21"/>
                      <w:szCs w:val="21"/>
                      <w:highlight w:val="none"/>
                    </w:rPr>
                    <w:t>μSv·m</w:t>
                  </w:r>
                  <w:r>
                    <w:rPr>
                      <w:rFonts w:hint="eastAsia" w:ascii="宋体" w:hAnsi="宋体" w:eastAsia="宋体" w:cs="宋体"/>
                      <w:color w:val="auto"/>
                      <w:kern w:val="0"/>
                      <w:sz w:val="21"/>
                      <w:szCs w:val="21"/>
                      <w:highlight w:val="none"/>
                      <w:vertAlign w:val="superscript"/>
                    </w:rPr>
                    <w:t>2</w:t>
                  </w:r>
                  <w:r>
                    <w:rPr>
                      <w:rFonts w:hint="eastAsia" w:ascii="宋体" w:hAnsi="宋体" w:eastAsia="宋体" w:cs="宋体"/>
                      <w:color w:val="auto"/>
                      <w:kern w:val="0"/>
                      <w:sz w:val="21"/>
                      <w:szCs w:val="21"/>
                      <w:highlight w:val="none"/>
                    </w:rPr>
                    <w:t>·h</w:t>
                  </w:r>
                  <w:r>
                    <w:rPr>
                      <w:rFonts w:hint="eastAsia" w:ascii="宋体" w:hAnsi="宋体" w:eastAsia="宋体" w:cs="宋体"/>
                      <w:color w:val="auto"/>
                      <w:kern w:val="0"/>
                      <w:sz w:val="21"/>
                      <w:szCs w:val="21"/>
                      <w:highlight w:val="none"/>
                      <w:vertAlign w:val="superscript"/>
                    </w:rPr>
                    <w:t>-1</w:t>
                  </w:r>
                  <w:r>
                    <w:rPr>
                      <w:rFonts w:hint="eastAsia" w:ascii="宋体" w:hAnsi="宋体" w:eastAsia="宋体" w:cs="宋体"/>
                      <w:color w:val="auto"/>
                      <w:kern w:val="0"/>
                      <w:sz w:val="21"/>
                      <w:szCs w:val="21"/>
                      <w:highlight w:val="none"/>
                    </w:rPr>
                    <w:t>；</w:t>
                  </w:r>
                  <w:r>
                    <w:rPr>
                      <w:rFonts w:hint="eastAsia" w:ascii="宋体" w:hAnsi="宋体" w:eastAsia="宋体" w:cs="宋体"/>
                      <w:i/>
                      <w:iCs/>
                      <w:color w:val="auto"/>
                      <w:kern w:val="0"/>
                      <w:sz w:val="21"/>
                      <w:szCs w:val="21"/>
                      <w:highlight w:val="none"/>
                    </w:rPr>
                    <w:t>f</w:t>
                  </w:r>
                  <w:r>
                    <w:rPr>
                      <w:rFonts w:hint="eastAsia" w:ascii="宋体" w:hAnsi="宋体" w:eastAsia="宋体" w:cs="宋体"/>
                      <w:color w:val="auto"/>
                      <w:kern w:val="0"/>
                      <w:sz w:val="21"/>
                      <w:szCs w:val="21"/>
                      <w:highlight w:val="none"/>
                    </w:rPr>
                    <w:t>=1；</w:t>
                  </w:r>
                  <w:r>
                    <w:rPr>
                      <w:rFonts w:hint="eastAsia" w:ascii="宋体" w:hAnsi="宋体" w:eastAsia="宋体" w:cs="宋体"/>
                      <w:i/>
                      <w:iCs/>
                      <w:color w:val="auto"/>
                      <w:kern w:val="0"/>
                      <w:sz w:val="21"/>
                      <w:szCs w:val="21"/>
                      <w:highlight w:val="none"/>
                    </w:rPr>
                    <w:t>R</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7.7</w:t>
                  </w:r>
                  <w:r>
                    <w:rPr>
                      <w:rFonts w:hint="eastAsia" w:ascii="宋体" w:hAnsi="宋体" w:eastAsia="宋体" w:cs="宋体"/>
                      <w:color w:val="auto"/>
                      <w:kern w:val="0"/>
                      <w:sz w:val="21"/>
                      <w:szCs w:val="21"/>
                      <w:highlight w:val="none"/>
                    </w:rPr>
                    <w:t>m；</w:t>
                  </w:r>
                  <w:r>
                    <w:rPr>
                      <w:rFonts w:hint="eastAsia" w:ascii="宋体" w:hAnsi="宋体" w:eastAsia="宋体" w:cs="宋体"/>
                      <w:i/>
                      <w:iCs/>
                      <w:color w:val="auto"/>
                      <w:kern w:val="0"/>
                      <w:sz w:val="21"/>
                      <w:szCs w:val="21"/>
                      <w:highlight w:val="none"/>
                    </w:rPr>
                    <w:t>TVL</w:t>
                  </w:r>
                  <w:r>
                    <w:rPr>
                      <w:rFonts w:hint="eastAsia" w:ascii="宋体" w:hAnsi="宋体" w:eastAsia="宋体" w:cs="宋体"/>
                      <w:color w:val="auto"/>
                      <w:kern w:val="0"/>
                      <w:sz w:val="21"/>
                      <w:szCs w:val="21"/>
                      <w:highlight w:val="none"/>
                      <w:vertAlign w:val="subscript"/>
                    </w:rPr>
                    <w:t>1</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41</w:t>
                  </w:r>
                  <w:r>
                    <w:rPr>
                      <w:rFonts w:hint="eastAsia" w:ascii="宋体" w:hAnsi="宋体" w:eastAsia="宋体" w:cs="宋体"/>
                      <w:color w:val="auto"/>
                      <w:kern w:val="0"/>
                      <w:sz w:val="21"/>
                      <w:szCs w:val="21"/>
                      <w:highlight w:val="none"/>
                    </w:rPr>
                    <w:t>cm；</w:t>
                  </w:r>
                  <w:r>
                    <w:rPr>
                      <w:rFonts w:hint="eastAsia" w:ascii="宋体" w:hAnsi="宋体" w:eastAsia="宋体" w:cs="宋体"/>
                      <w:i/>
                      <w:iCs/>
                      <w:color w:val="auto"/>
                      <w:kern w:val="0"/>
                      <w:sz w:val="21"/>
                      <w:szCs w:val="21"/>
                      <w:highlight w:val="none"/>
                    </w:rPr>
                    <w:t>TVL</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37</w:t>
                  </w:r>
                  <w:r>
                    <w:rPr>
                      <w:rFonts w:hint="eastAsia" w:ascii="宋体" w:hAnsi="宋体" w:eastAsia="宋体" w:cs="宋体"/>
                      <w:color w:val="auto"/>
                      <w:kern w:val="0"/>
                      <w:sz w:val="21"/>
                      <w:szCs w:val="21"/>
                      <w:highlight w:val="none"/>
                    </w:rPr>
                    <w:t>cm；</w:t>
                  </w:r>
                  <w:r>
                    <w:rPr>
                      <w:rFonts w:hint="eastAsia" w:ascii="宋体" w:hAnsi="宋体" w:eastAsia="宋体" w:cs="宋体"/>
                      <w:i/>
                      <w:iCs/>
                      <w:color w:val="auto"/>
                      <w:kern w:val="0"/>
                      <w:sz w:val="21"/>
                      <w:szCs w:val="21"/>
                      <w:highlight w:val="none"/>
                    </w:rPr>
                    <w:t>X</w:t>
                  </w:r>
                  <w:r>
                    <w:rPr>
                      <w:rFonts w:hint="eastAsia" w:ascii="宋体" w:hAnsi="宋体" w:eastAsia="宋体" w:cs="宋体"/>
                      <w:color w:val="auto"/>
                      <w:kern w:val="0"/>
                      <w:sz w:val="21"/>
                      <w:szCs w:val="21"/>
                      <w:highlight w:val="none"/>
                    </w:rPr>
                    <w:t>=</w:t>
                  </w:r>
                  <w:r>
                    <w:rPr>
                      <w:rFonts w:hint="eastAsia" w:ascii="宋体" w:hAnsi="宋体" w:eastAsia="宋体" w:cs="宋体"/>
                      <w:i/>
                      <w:iCs/>
                      <w:color w:val="auto"/>
                      <w:kern w:val="0"/>
                      <w:sz w:val="21"/>
                      <w:szCs w:val="21"/>
                      <w:highlight w:val="none"/>
                    </w:rPr>
                    <w:t>Xe</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290</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position w:val="-6"/>
                      <w:sz w:val="21"/>
                      <w:szCs w:val="21"/>
                      <w:highlight w:val="none"/>
                    </w:rPr>
                    <w:object>
                      <v:shape id="_x0000_i1052" o:spt="75" type="#_x0000_t75" style="height:11.25pt;width:94.15pt;" o:ole="t" filled="f" o:preferrelative="t" stroked="f" coordsize="21600,21600">
                        <v:path/>
                        <v:fill on="f" focussize="0,0"/>
                        <v:stroke on="f" joinstyle="miter"/>
                        <v:imagedata r:id="rId28" o:title=""/>
                        <o:lock v:ext="edit" aspectratio="t"/>
                        <w10:wrap type="none"/>
                        <w10:anchorlock/>
                      </v:shape>
                      <o:OLEObject Type="Embed" ProgID="Equations" ShapeID="_x0000_i1052" DrawAspect="Content" ObjectID="_1468075752" r:id="rId66">
                        <o:LockedField>false</o:LockedField>
                      </o:OLEObject>
                    </w:object>
                  </w:r>
                  <w:r>
                    <w:rPr>
                      <w:rFonts w:hint="eastAsia" w:ascii="宋体" w:hAnsi="宋体" w:eastAsia="宋体" w:cs="宋体"/>
                      <w:color w:val="auto"/>
                      <w:kern w:val="0"/>
                      <w:position w:val="-6"/>
                      <w:sz w:val="21"/>
                      <w:szCs w:val="21"/>
                      <w:highlight w:val="none"/>
                    </w:rPr>
                    <w:t>=</w:t>
                  </w:r>
                  <w:r>
                    <w:rPr>
                      <w:rFonts w:hint="eastAsia" w:ascii="宋体" w:hAnsi="宋体" w:eastAsia="宋体" w:cs="宋体"/>
                      <w:color w:val="auto"/>
                      <w:kern w:val="0"/>
                      <w:position w:val="-6"/>
                      <w:sz w:val="21"/>
                      <w:szCs w:val="21"/>
                      <w:highlight w:val="none"/>
                      <w:lang w:val="en-US" w:eastAsia="zh-CN"/>
                    </w:rPr>
                    <w:t>1.86</w:t>
                  </w:r>
                  <w:r>
                    <w:rPr>
                      <w:rFonts w:hint="eastAsia" w:ascii="宋体" w:hAnsi="宋体" w:eastAsia="宋体" w:cs="宋体"/>
                      <w:color w:val="auto"/>
                      <w:kern w:val="0"/>
                      <w:position w:val="-6"/>
                      <w:sz w:val="21"/>
                      <w:szCs w:val="21"/>
                      <w:highlight w:val="none"/>
                    </w:rPr>
                    <w:t>×10</w:t>
                  </w:r>
                  <w:r>
                    <w:rPr>
                      <w:rFonts w:hint="eastAsia" w:ascii="宋体" w:hAnsi="宋体" w:eastAsia="宋体" w:cs="宋体"/>
                      <w:color w:val="auto"/>
                      <w:kern w:val="0"/>
                      <w:position w:val="-6"/>
                      <w:sz w:val="21"/>
                      <w:szCs w:val="21"/>
                      <w:highlight w:val="none"/>
                      <w:vertAlign w:val="superscript"/>
                    </w:rPr>
                    <w:t>-</w:t>
                  </w:r>
                  <w:r>
                    <w:rPr>
                      <w:rFonts w:hint="eastAsia" w:ascii="宋体" w:hAnsi="宋体" w:eastAsia="宋体" w:cs="宋体"/>
                      <w:color w:val="auto"/>
                      <w:kern w:val="0"/>
                      <w:position w:val="-6"/>
                      <w:sz w:val="21"/>
                      <w:szCs w:val="21"/>
                      <w:highlight w:val="none"/>
                      <w:vertAlign w:val="superscript"/>
                      <w:lang w:val="en-US" w:eastAsia="zh-CN"/>
                    </w:rPr>
                    <w:t>8</w:t>
                  </w:r>
                </w:p>
              </w:tc>
              <w:tc>
                <w:tcPr>
                  <w:tcW w:w="1959" w:type="dxa"/>
                  <w:gridSpan w:val="2"/>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rPr>
                    <w:t>0.</w:t>
                  </w:r>
                  <w:r>
                    <w:rPr>
                      <w:rFonts w:hint="eastAsia" w:ascii="宋体" w:hAnsi="宋体" w:eastAsia="宋体" w:cs="宋体"/>
                      <w:color w:val="auto"/>
                      <w:kern w:val="0"/>
                      <w:sz w:val="21"/>
                      <w:szCs w:val="21"/>
                      <w:highlight w:val="none"/>
                      <w:lang w:val="en-US" w:eastAsia="zh-CN"/>
                    </w:rPr>
                    <w:t>113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87" w:type="dxa"/>
                  <w:vMerge w:val="continue"/>
                  <w:tcBorders>
                    <w:tl2br w:val="nil"/>
                    <w:tr2bl w:val="nil"/>
                  </w:tcBorders>
                  <w:vAlign w:val="center"/>
                </w:tcPr>
                <w:p>
                  <w:pPr>
                    <w:spacing w:line="240" w:lineRule="auto"/>
                    <w:jc w:val="center"/>
                    <w:rPr>
                      <w:rFonts w:hint="eastAsia" w:ascii="宋体" w:hAnsi="宋体" w:eastAsia="宋体" w:cs="宋体"/>
                      <w:color w:val="0000FF"/>
                      <w:kern w:val="0"/>
                      <w:sz w:val="21"/>
                      <w:szCs w:val="21"/>
                      <w:highlight w:val="none"/>
                    </w:rPr>
                  </w:pPr>
                </w:p>
              </w:tc>
              <w:tc>
                <w:tcPr>
                  <w:tcW w:w="1286" w:type="dxa"/>
                  <w:vMerge w:val="restart"/>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5#（</w:t>
                  </w:r>
                  <w:r>
                    <w:rPr>
                      <w:rFonts w:hint="eastAsia" w:ascii="宋体" w:hAnsi="宋体" w:eastAsia="宋体" w:cs="宋体"/>
                      <w:color w:val="auto"/>
                      <w:kern w:val="0"/>
                      <w:sz w:val="21"/>
                      <w:szCs w:val="21"/>
                      <w:highlight w:val="none"/>
                      <w:lang w:val="en-US" w:eastAsia="zh-CN"/>
                    </w:rPr>
                    <w:t>西侧</w:t>
                  </w:r>
                  <w:r>
                    <w:rPr>
                      <w:rFonts w:hint="eastAsia" w:ascii="宋体" w:hAnsi="宋体" w:eastAsia="宋体" w:cs="宋体"/>
                      <w:color w:val="auto"/>
                      <w:kern w:val="0"/>
                      <w:sz w:val="21"/>
                      <w:szCs w:val="21"/>
                      <w:highlight w:val="none"/>
                    </w:rPr>
                    <w:t>与主屏蔽墙相连的副屏蔽墙外）</w:t>
                  </w:r>
                </w:p>
              </w:tc>
              <w:tc>
                <w:tcPr>
                  <w:tcW w:w="1408" w:type="dxa"/>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泄露辐射</w:t>
                  </w:r>
                </w:p>
              </w:tc>
              <w:tc>
                <w:tcPr>
                  <w:tcW w:w="3482" w:type="dxa"/>
                  <w:tcBorders>
                    <w:tl2br w:val="nil"/>
                    <w:tr2bl w:val="nil"/>
                  </w:tcBorders>
                  <w:vAlign w:val="center"/>
                </w:tcPr>
                <w:p>
                  <w:pPr>
                    <w:spacing w:line="240" w:lineRule="auto"/>
                    <w:jc w:val="center"/>
                    <w:rPr>
                      <w:rFonts w:hint="eastAsia" w:ascii="宋体" w:hAnsi="宋体" w:eastAsia="宋体" w:cs="宋体"/>
                      <w:color w:val="auto"/>
                      <w:kern w:val="0"/>
                      <w:position w:val="-6"/>
                      <w:sz w:val="21"/>
                      <w:szCs w:val="21"/>
                      <w:highlight w:val="none"/>
                    </w:rPr>
                  </w:pPr>
                  <w:r>
                    <w:rPr>
                      <w:rFonts w:hint="eastAsia" w:ascii="宋体" w:hAnsi="宋体" w:eastAsia="宋体" w:cs="宋体"/>
                      <w:color w:val="auto"/>
                      <w:kern w:val="0"/>
                      <w:position w:val="-6"/>
                      <w:sz w:val="21"/>
                      <w:szCs w:val="21"/>
                      <w:highlight w:val="none"/>
                    </w:rPr>
                    <w:object>
                      <v:shape id="_x0000_i1053" o:spt="75" type="#_x0000_t75" style="height:17.25pt;width:13.9pt;" o:ole="t" filled="f" o:preferrelative="t" stroked="f" coordsize="21600,21600">
                        <v:path/>
                        <v:fill on="f" focussize="0,0"/>
                        <v:stroke on="f" joinstyle="miter"/>
                        <v:imagedata r:id="rId56" o:title=""/>
                        <o:lock v:ext="edit" aspectratio="t"/>
                        <w10:wrap type="none"/>
                        <w10:anchorlock/>
                      </v:shape>
                      <o:OLEObject Type="Embed" ProgID="Equation.KSEE3" ShapeID="_x0000_i1053" DrawAspect="Content" ObjectID="_1468075753" r:id="rId67">
                        <o:LockedField>false</o:LockedField>
                      </o:OLEObject>
                    </w:objec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3.6</w:t>
                  </w:r>
                  <w:r>
                    <w:rPr>
                      <w:rFonts w:hint="eastAsia" w:ascii="宋体" w:hAnsi="宋体" w:eastAsia="宋体" w:cs="宋体"/>
                      <w:color w:val="auto"/>
                      <w:kern w:val="0"/>
                      <w:sz w:val="21"/>
                      <w:szCs w:val="21"/>
                      <w:highlight w:val="none"/>
                    </w:rPr>
                    <w:t>×10</w:t>
                  </w:r>
                  <w:r>
                    <w:rPr>
                      <w:rFonts w:hint="eastAsia" w:ascii="宋体" w:hAnsi="宋体" w:eastAsia="宋体" w:cs="宋体"/>
                      <w:color w:val="auto"/>
                      <w:kern w:val="0"/>
                      <w:sz w:val="21"/>
                      <w:szCs w:val="21"/>
                      <w:highlight w:val="none"/>
                      <w:vertAlign w:val="superscript"/>
                    </w:rPr>
                    <w:t>8</w:t>
                  </w:r>
                  <w:r>
                    <w:rPr>
                      <w:rFonts w:hint="eastAsia" w:ascii="宋体" w:hAnsi="宋体" w:eastAsia="宋体" w:cs="宋体"/>
                      <w:color w:val="auto"/>
                      <w:kern w:val="0"/>
                      <w:sz w:val="21"/>
                      <w:szCs w:val="21"/>
                      <w:highlight w:val="none"/>
                    </w:rPr>
                    <w:t>μSv·m</w:t>
                  </w:r>
                  <w:r>
                    <w:rPr>
                      <w:rFonts w:hint="eastAsia" w:ascii="宋体" w:hAnsi="宋体" w:eastAsia="宋体" w:cs="宋体"/>
                      <w:color w:val="auto"/>
                      <w:kern w:val="0"/>
                      <w:sz w:val="21"/>
                      <w:szCs w:val="21"/>
                      <w:highlight w:val="none"/>
                      <w:vertAlign w:val="superscript"/>
                    </w:rPr>
                    <w:t>2</w:t>
                  </w:r>
                  <w:r>
                    <w:rPr>
                      <w:rFonts w:hint="eastAsia" w:ascii="宋体" w:hAnsi="宋体" w:eastAsia="宋体" w:cs="宋体"/>
                      <w:color w:val="auto"/>
                      <w:kern w:val="0"/>
                      <w:sz w:val="21"/>
                      <w:szCs w:val="21"/>
                      <w:highlight w:val="none"/>
                    </w:rPr>
                    <w:t>·h</w:t>
                  </w:r>
                  <w:r>
                    <w:rPr>
                      <w:rFonts w:hint="eastAsia" w:ascii="宋体" w:hAnsi="宋体" w:eastAsia="宋体" w:cs="宋体"/>
                      <w:color w:val="auto"/>
                      <w:kern w:val="0"/>
                      <w:sz w:val="21"/>
                      <w:szCs w:val="21"/>
                      <w:highlight w:val="none"/>
                      <w:vertAlign w:val="superscript"/>
                    </w:rPr>
                    <w:t>-1</w:t>
                  </w:r>
                  <w:r>
                    <w:rPr>
                      <w:rFonts w:hint="eastAsia" w:ascii="宋体" w:hAnsi="宋体" w:eastAsia="宋体" w:cs="宋体"/>
                      <w:color w:val="auto"/>
                      <w:kern w:val="0"/>
                      <w:sz w:val="21"/>
                      <w:szCs w:val="21"/>
                      <w:highlight w:val="none"/>
                    </w:rPr>
                    <w:t>；</w:t>
                  </w:r>
                  <w:r>
                    <w:rPr>
                      <w:rFonts w:hint="eastAsia" w:ascii="宋体" w:hAnsi="宋体" w:eastAsia="宋体" w:cs="宋体"/>
                      <w:i/>
                      <w:iCs/>
                      <w:color w:val="auto"/>
                      <w:kern w:val="0"/>
                      <w:sz w:val="21"/>
                      <w:szCs w:val="21"/>
                      <w:highlight w:val="none"/>
                    </w:rPr>
                    <w:t>f</w:t>
                  </w:r>
                  <w:r>
                    <w:rPr>
                      <w:rFonts w:hint="eastAsia" w:ascii="宋体" w:hAnsi="宋体" w:eastAsia="宋体" w:cs="宋体"/>
                      <w:color w:val="auto"/>
                      <w:kern w:val="0"/>
                      <w:sz w:val="21"/>
                      <w:szCs w:val="21"/>
                      <w:highlight w:val="none"/>
                    </w:rPr>
                    <w:t>=10</w:t>
                  </w:r>
                  <w:r>
                    <w:rPr>
                      <w:rFonts w:hint="eastAsia" w:ascii="宋体" w:hAnsi="宋体" w:eastAsia="宋体" w:cs="宋体"/>
                      <w:color w:val="auto"/>
                      <w:kern w:val="0"/>
                      <w:sz w:val="21"/>
                      <w:szCs w:val="21"/>
                      <w:highlight w:val="none"/>
                      <w:vertAlign w:val="superscript"/>
                    </w:rPr>
                    <w:t>-3</w:t>
                  </w:r>
                  <w:r>
                    <w:rPr>
                      <w:rFonts w:hint="eastAsia" w:ascii="宋体" w:hAnsi="宋体" w:eastAsia="宋体" w:cs="宋体"/>
                      <w:color w:val="auto"/>
                      <w:kern w:val="0"/>
                      <w:sz w:val="21"/>
                      <w:szCs w:val="21"/>
                      <w:highlight w:val="none"/>
                    </w:rPr>
                    <w:t>；</w:t>
                  </w:r>
                  <w:r>
                    <w:rPr>
                      <w:rFonts w:hint="eastAsia" w:ascii="宋体" w:hAnsi="宋体" w:eastAsia="宋体" w:cs="宋体"/>
                      <w:i/>
                      <w:iCs/>
                      <w:color w:val="auto"/>
                      <w:kern w:val="0"/>
                      <w:sz w:val="21"/>
                      <w:szCs w:val="21"/>
                      <w:highlight w:val="none"/>
                    </w:rPr>
                    <w:t>R</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7.65</w:t>
                  </w:r>
                  <w:r>
                    <w:rPr>
                      <w:rFonts w:hint="eastAsia" w:ascii="宋体" w:hAnsi="宋体" w:eastAsia="宋体" w:cs="宋体"/>
                      <w:color w:val="auto"/>
                      <w:kern w:val="0"/>
                      <w:sz w:val="21"/>
                      <w:szCs w:val="21"/>
                      <w:highlight w:val="none"/>
                    </w:rPr>
                    <w:t>m；</w:t>
                  </w:r>
                  <w:r>
                    <w:rPr>
                      <w:rFonts w:hint="eastAsia" w:ascii="宋体" w:hAnsi="宋体" w:eastAsia="宋体" w:cs="宋体"/>
                      <w:i/>
                      <w:iCs/>
                      <w:color w:val="auto"/>
                      <w:kern w:val="0"/>
                      <w:sz w:val="21"/>
                      <w:szCs w:val="21"/>
                      <w:highlight w:val="none"/>
                    </w:rPr>
                    <w:t>TVL</w:t>
                  </w:r>
                  <w:r>
                    <w:rPr>
                      <w:rFonts w:hint="eastAsia" w:ascii="宋体" w:hAnsi="宋体" w:eastAsia="宋体" w:cs="宋体"/>
                      <w:color w:val="auto"/>
                      <w:kern w:val="0"/>
                      <w:sz w:val="21"/>
                      <w:szCs w:val="21"/>
                      <w:highlight w:val="none"/>
                      <w:vertAlign w:val="subscript"/>
                    </w:rPr>
                    <w:t>1</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35</w:t>
                  </w:r>
                  <w:r>
                    <w:rPr>
                      <w:rFonts w:hint="eastAsia" w:ascii="宋体" w:hAnsi="宋体" w:eastAsia="宋体" w:cs="宋体"/>
                      <w:color w:val="auto"/>
                      <w:kern w:val="0"/>
                      <w:sz w:val="21"/>
                      <w:szCs w:val="21"/>
                      <w:highlight w:val="none"/>
                    </w:rPr>
                    <w:t>cm；</w:t>
                  </w:r>
                  <w:r>
                    <w:rPr>
                      <w:rFonts w:hint="eastAsia" w:ascii="宋体" w:hAnsi="宋体" w:eastAsia="宋体" w:cs="宋体"/>
                      <w:i/>
                      <w:iCs/>
                      <w:color w:val="auto"/>
                      <w:kern w:val="0"/>
                      <w:sz w:val="21"/>
                      <w:szCs w:val="21"/>
                      <w:highlight w:val="none"/>
                    </w:rPr>
                    <w:t>TVL</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31</w:t>
                  </w:r>
                  <w:r>
                    <w:rPr>
                      <w:rFonts w:hint="eastAsia" w:ascii="宋体" w:hAnsi="宋体" w:eastAsia="宋体" w:cs="宋体"/>
                      <w:color w:val="auto"/>
                      <w:kern w:val="0"/>
                      <w:sz w:val="21"/>
                      <w:szCs w:val="21"/>
                      <w:highlight w:val="none"/>
                    </w:rPr>
                    <w:t>cm；</w:t>
                  </w:r>
                  <w:r>
                    <w:rPr>
                      <w:rFonts w:hint="eastAsia" w:ascii="宋体" w:hAnsi="宋体" w:eastAsia="宋体" w:cs="宋体"/>
                      <w:i/>
                      <w:iCs/>
                      <w:color w:val="auto"/>
                      <w:kern w:val="0"/>
                      <w:sz w:val="21"/>
                      <w:szCs w:val="21"/>
                      <w:highlight w:val="none"/>
                    </w:rPr>
                    <w:t>X</w:t>
                  </w:r>
                  <w:r>
                    <w:rPr>
                      <w:rFonts w:hint="eastAsia" w:ascii="宋体" w:hAnsi="宋体" w:eastAsia="宋体" w:cs="宋体"/>
                      <w:color w:val="auto"/>
                      <w:kern w:val="0"/>
                      <w:sz w:val="21"/>
                      <w:szCs w:val="21"/>
                      <w:highlight w:val="none"/>
                    </w:rPr>
                    <w:t>=</w:t>
                  </w:r>
                  <w:r>
                    <w:rPr>
                      <w:rFonts w:hint="eastAsia" w:ascii="宋体" w:hAnsi="宋体" w:eastAsia="宋体" w:cs="宋体"/>
                      <w:i/>
                      <w:iCs/>
                      <w:color w:val="auto"/>
                      <w:kern w:val="0"/>
                      <w:sz w:val="21"/>
                      <w:szCs w:val="21"/>
                      <w:highlight w:val="none"/>
                    </w:rPr>
                    <w:t>Xe/cos</w:t>
                  </w:r>
                  <w:r>
                    <w:rPr>
                      <w:rFonts w:hint="eastAsia" w:ascii="宋体" w:hAnsi="宋体" w:eastAsia="宋体" w:cs="宋体"/>
                      <w:color w:val="auto"/>
                      <w:kern w:val="0"/>
                      <w:sz w:val="21"/>
                      <w:szCs w:val="21"/>
                      <w:highlight w:val="none"/>
                    </w:rPr>
                    <w:t>30°=</w:t>
                  </w:r>
                  <w:r>
                    <w:rPr>
                      <w:rFonts w:hint="eastAsia" w:ascii="宋体" w:hAnsi="宋体" w:eastAsia="宋体" w:cs="宋体"/>
                      <w:color w:val="auto"/>
                      <w:kern w:val="0"/>
                      <w:sz w:val="21"/>
                      <w:szCs w:val="21"/>
                      <w:highlight w:val="none"/>
                      <w:lang w:val="en-US" w:eastAsia="zh-CN"/>
                    </w:rPr>
                    <w:t>196.3</w:t>
                  </w:r>
                  <w:r>
                    <w:rPr>
                      <w:rFonts w:hint="eastAsia" w:ascii="宋体" w:hAnsi="宋体" w:eastAsia="宋体" w:cs="宋体"/>
                      <w:color w:val="auto"/>
                      <w:kern w:val="0"/>
                      <w:sz w:val="21"/>
                      <w:szCs w:val="21"/>
                      <w:highlight w:val="none"/>
                    </w:rPr>
                    <w:t>cm；</w:t>
                  </w:r>
                  <w:r>
                    <w:rPr>
                      <w:rFonts w:hint="eastAsia" w:ascii="宋体" w:hAnsi="宋体" w:eastAsia="宋体" w:cs="宋体"/>
                      <w:color w:val="auto"/>
                      <w:kern w:val="0"/>
                      <w:position w:val="-6"/>
                      <w:sz w:val="21"/>
                      <w:szCs w:val="21"/>
                      <w:highlight w:val="none"/>
                    </w:rPr>
                    <w:object>
                      <v:shape id="_x0000_i1054" o:spt="75" type="#_x0000_t75" style="height:12pt;width:94.15pt;" o:ole="t" filled="f" o:preferrelative="t" stroked="f" coordsize="21600,21600">
                        <v:path/>
                        <v:fill on="f" focussize="0,0"/>
                        <v:stroke on="f" joinstyle="miter"/>
                        <v:imagedata r:id="rId28" o:title=""/>
                        <o:lock v:ext="edit" aspectratio="t"/>
                        <w10:wrap type="none"/>
                        <w10:anchorlock/>
                      </v:shape>
                      <o:OLEObject Type="Embed" ProgID="Equations" ShapeID="_x0000_i1054" DrawAspect="Content" ObjectID="_1468075754" r:id="rId68">
                        <o:LockedField>false</o:LockedField>
                      </o:OLEObject>
                    </w:object>
                  </w:r>
                  <w:r>
                    <w:rPr>
                      <w:rFonts w:hint="eastAsia" w:ascii="宋体" w:hAnsi="宋体" w:eastAsia="宋体" w:cs="宋体"/>
                      <w:color w:val="auto"/>
                      <w:kern w:val="0"/>
                      <w:position w:val="-6"/>
                      <w:sz w:val="21"/>
                      <w:szCs w:val="21"/>
                      <w:highlight w:val="none"/>
                    </w:rPr>
                    <w:t>=</w:t>
                  </w:r>
                  <w:r>
                    <w:rPr>
                      <w:rFonts w:hint="eastAsia" w:ascii="宋体" w:hAnsi="宋体" w:eastAsia="宋体" w:cs="宋体"/>
                      <w:color w:val="auto"/>
                      <w:kern w:val="0"/>
                      <w:position w:val="-6"/>
                      <w:sz w:val="21"/>
                      <w:szCs w:val="21"/>
                      <w:highlight w:val="none"/>
                      <w:lang w:val="en-US" w:eastAsia="zh-CN"/>
                    </w:rPr>
                    <w:t>6.26</w:t>
                  </w:r>
                  <w:r>
                    <w:rPr>
                      <w:rFonts w:hint="eastAsia" w:ascii="宋体" w:hAnsi="宋体" w:eastAsia="宋体" w:cs="宋体"/>
                      <w:color w:val="auto"/>
                      <w:kern w:val="0"/>
                      <w:position w:val="-6"/>
                      <w:sz w:val="21"/>
                      <w:szCs w:val="21"/>
                      <w:highlight w:val="none"/>
                    </w:rPr>
                    <w:t>×10</w:t>
                  </w:r>
                  <w:r>
                    <w:rPr>
                      <w:rFonts w:hint="eastAsia" w:ascii="宋体" w:hAnsi="宋体" w:eastAsia="宋体" w:cs="宋体"/>
                      <w:color w:val="auto"/>
                      <w:kern w:val="0"/>
                      <w:position w:val="-6"/>
                      <w:sz w:val="21"/>
                      <w:szCs w:val="21"/>
                      <w:highlight w:val="none"/>
                      <w:vertAlign w:val="superscript"/>
                    </w:rPr>
                    <w:t>-</w:t>
                  </w:r>
                  <w:r>
                    <w:rPr>
                      <w:rFonts w:hint="eastAsia" w:ascii="宋体" w:hAnsi="宋体" w:eastAsia="宋体" w:cs="宋体"/>
                      <w:color w:val="auto"/>
                      <w:kern w:val="0"/>
                      <w:position w:val="-6"/>
                      <w:sz w:val="21"/>
                      <w:szCs w:val="21"/>
                      <w:highlight w:val="none"/>
                      <w:vertAlign w:val="superscript"/>
                      <w:lang w:val="en-US" w:eastAsia="zh-CN"/>
                    </w:rPr>
                    <w:t>7</w:t>
                  </w:r>
                </w:p>
              </w:tc>
              <w:tc>
                <w:tcPr>
                  <w:tcW w:w="1080" w:type="dxa"/>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0.004</w:t>
                  </w:r>
                </w:p>
              </w:tc>
              <w:tc>
                <w:tcPr>
                  <w:tcW w:w="879" w:type="dxa"/>
                  <w:vMerge w:val="restart"/>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0.012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87" w:type="dxa"/>
                  <w:vMerge w:val="continue"/>
                  <w:tcBorders>
                    <w:tl2br w:val="nil"/>
                    <w:tr2bl w:val="nil"/>
                  </w:tcBorders>
                  <w:vAlign w:val="center"/>
                </w:tcPr>
                <w:p>
                  <w:pPr>
                    <w:spacing w:line="240" w:lineRule="auto"/>
                    <w:jc w:val="center"/>
                    <w:rPr>
                      <w:rFonts w:hint="eastAsia" w:ascii="宋体" w:hAnsi="宋体" w:eastAsia="宋体" w:cs="宋体"/>
                      <w:color w:val="0000FF"/>
                      <w:kern w:val="0"/>
                      <w:sz w:val="21"/>
                      <w:szCs w:val="21"/>
                      <w:highlight w:val="none"/>
                    </w:rPr>
                  </w:pPr>
                </w:p>
              </w:tc>
              <w:tc>
                <w:tcPr>
                  <w:tcW w:w="1286" w:type="dxa"/>
                  <w:vMerge w:val="continue"/>
                  <w:tcBorders>
                    <w:tl2br w:val="nil"/>
                    <w:tr2bl w:val="nil"/>
                  </w:tcBorders>
                  <w:vAlign w:val="center"/>
                </w:tcPr>
                <w:p>
                  <w:pPr>
                    <w:spacing w:line="240" w:lineRule="auto"/>
                    <w:jc w:val="center"/>
                    <w:rPr>
                      <w:rFonts w:hint="eastAsia" w:ascii="宋体" w:hAnsi="宋体" w:eastAsia="宋体" w:cs="宋体"/>
                      <w:color w:val="0000FF"/>
                      <w:kern w:val="0"/>
                      <w:sz w:val="21"/>
                      <w:szCs w:val="21"/>
                      <w:highlight w:val="none"/>
                    </w:rPr>
                  </w:pPr>
                </w:p>
              </w:tc>
              <w:tc>
                <w:tcPr>
                  <w:tcW w:w="1408" w:type="dxa"/>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rPr>
                    <w:t>散射辐射</w:t>
                  </w:r>
                </w:p>
              </w:tc>
              <w:tc>
                <w:tcPr>
                  <w:tcW w:w="3482" w:type="dxa"/>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position w:val="-6"/>
                      <w:sz w:val="21"/>
                      <w:szCs w:val="21"/>
                      <w:highlight w:val="none"/>
                    </w:rPr>
                    <w:object>
                      <v:shape id="_x0000_i1055" o:spt="75" type="#_x0000_t75" style="height:17.25pt;width:13.9pt;" o:ole="t" filled="f" o:preferrelative="t" stroked="f" coordsize="21600,21600">
                        <v:path/>
                        <v:fill on="f" focussize="0,0"/>
                        <v:stroke on="f" joinstyle="miter"/>
                        <v:imagedata r:id="rId56" o:title=""/>
                        <o:lock v:ext="edit" aspectratio="t"/>
                        <w10:wrap type="none"/>
                        <w10:anchorlock/>
                      </v:shape>
                      <o:OLEObject Type="Embed" ProgID="Equation.KSEE3" ShapeID="_x0000_i1055" DrawAspect="Content" ObjectID="_1468075755" r:id="rId69">
                        <o:LockedField>false</o:LockedField>
                      </o:OLEObject>
                    </w:objec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3.6</w:t>
                  </w:r>
                  <w:r>
                    <w:rPr>
                      <w:rFonts w:hint="eastAsia" w:ascii="宋体" w:hAnsi="宋体" w:eastAsia="宋体" w:cs="宋体"/>
                      <w:color w:val="auto"/>
                      <w:kern w:val="0"/>
                      <w:sz w:val="21"/>
                      <w:szCs w:val="21"/>
                      <w:highlight w:val="none"/>
                    </w:rPr>
                    <w:t>×10</w:t>
                  </w:r>
                  <w:r>
                    <w:rPr>
                      <w:rFonts w:hint="eastAsia" w:ascii="宋体" w:hAnsi="宋体" w:eastAsia="宋体" w:cs="宋体"/>
                      <w:color w:val="auto"/>
                      <w:kern w:val="0"/>
                      <w:sz w:val="21"/>
                      <w:szCs w:val="21"/>
                      <w:highlight w:val="none"/>
                      <w:vertAlign w:val="superscript"/>
                    </w:rPr>
                    <w:t>8</w:t>
                  </w:r>
                  <w:r>
                    <w:rPr>
                      <w:rFonts w:hint="eastAsia" w:ascii="宋体" w:hAnsi="宋体" w:eastAsia="宋体" w:cs="宋体"/>
                      <w:color w:val="auto"/>
                      <w:kern w:val="0"/>
                      <w:sz w:val="21"/>
                      <w:szCs w:val="21"/>
                      <w:highlight w:val="none"/>
                    </w:rPr>
                    <w:t>μSv·m</w:t>
                  </w:r>
                  <w:r>
                    <w:rPr>
                      <w:rFonts w:hint="eastAsia" w:ascii="宋体" w:hAnsi="宋体" w:eastAsia="宋体" w:cs="宋体"/>
                      <w:color w:val="auto"/>
                      <w:kern w:val="0"/>
                      <w:sz w:val="21"/>
                      <w:szCs w:val="21"/>
                      <w:highlight w:val="none"/>
                      <w:vertAlign w:val="superscript"/>
                    </w:rPr>
                    <w:t>2</w:t>
                  </w:r>
                  <w:r>
                    <w:rPr>
                      <w:rFonts w:hint="eastAsia" w:ascii="宋体" w:hAnsi="宋体" w:eastAsia="宋体" w:cs="宋体"/>
                      <w:color w:val="auto"/>
                      <w:kern w:val="0"/>
                      <w:sz w:val="21"/>
                      <w:szCs w:val="21"/>
                      <w:highlight w:val="none"/>
                    </w:rPr>
                    <w:t>·h</w:t>
                  </w:r>
                  <w:r>
                    <w:rPr>
                      <w:rFonts w:hint="eastAsia" w:ascii="宋体" w:hAnsi="宋体" w:eastAsia="宋体" w:cs="宋体"/>
                      <w:color w:val="auto"/>
                      <w:kern w:val="0"/>
                      <w:sz w:val="21"/>
                      <w:szCs w:val="21"/>
                      <w:highlight w:val="none"/>
                      <w:vertAlign w:val="superscript"/>
                    </w:rPr>
                    <w:t>-1</w:t>
                  </w:r>
                  <w:r>
                    <w:rPr>
                      <w:rFonts w:hint="eastAsia" w:ascii="宋体" w:hAnsi="宋体" w:eastAsia="宋体" w:cs="宋体"/>
                      <w:color w:val="auto"/>
                      <w:kern w:val="0"/>
                      <w:sz w:val="21"/>
                      <w:szCs w:val="21"/>
                      <w:highlight w:val="none"/>
                    </w:rPr>
                    <w:t>；</w:t>
                  </w:r>
                  <w:r>
                    <w:rPr>
                      <w:rFonts w:hint="eastAsia" w:ascii="宋体" w:hAnsi="宋体" w:eastAsia="宋体" w:cs="宋体"/>
                      <w:i/>
                      <w:iCs/>
                      <w:color w:val="auto"/>
                      <w:kern w:val="0"/>
                      <w:sz w:val="21"/>
                      <w:szCs w:val="21"/>
                      <w:highlight w:val="none"/>
                    </w:rPr>
                    <w:t>α</w:t>
                  </w:r>
                  <w:r>
                    <w:rPr>
                      <w:rFonts w:hint="eastAsia" w:ascii="宋体" w:hAnsi="宋体" w:eastAsia="宋体" w:cs="宋体"/>
                      <w:color w:val="auto"/>
                      <w:kern w:val="0"/>
                      <w:sz w:val="21"/>
                      <w:szCs w:val="21"/>
                      <w:highlight w:val="none"/>
                      <w:vertAlign w:val="subscript"/>
                    </w:rPr>
                    <w:t>ph</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3.18</w:t>
                  </w:r>
                  <w:r>
                    <w:rPr>
                      <w:rFonts w:hint="eastAsia" w:ascii="宋体" w:hAnsi="宋体" w:eastAsia="宋体" w:cs="宋体"/>
                      <w:color w:val="auto"/>
                      <w:kern w:val="0"/>
                      <w:sz w:val="21"/>
                      <w:szCs w:val="21"/>
                      <w:highlight w:val="none"/>
                    </w:rPr>
                    <w:t>×10</w:t>
                  </w:r>
                  <w:r>
                    <w:rPr>
                      <w:rFonts w:hint="eastAsia" w:ascii="宋体" w:hAnsi="宋体" w:eastAsia="宋体" w:cs="宋体"/>
                      <w:color w:val="auto"/>
                      <w:kern w:val="0"/>
                      <w:sz w:val="21"/>
                      <w:szCs w:val="21"/>
                      <w:highlight w:val="none"/>
                      <w:vertAlign w:val="superscript"/>
                    </w:rPr>
                    <w:t>-3</w:t>
                  </w:r>
                  <w:r>
                    <w:rPr>
                      <w:rFonts w:hint="eastAsia" w:ascii="宋体" w:hAnsi="宋体" w:eastAsia="宋体" w:cs="宋体"/>
                      <w:color w:val="auto"/>
                      <w:kern w:val="0"/>
                      <w:sz w:val="21"/>
                      <w:szCs w:val="21"/>
                      <w:highlight w:val="none"/>
                    </w:rPr>
                    <w:t>；</w:t>
                  </w:r>
                  <w:r>
                    <w:rPr>
                      <w:rFonts w:hint="eastAsia" w:ascii="宋体" w:hAnsi="宋体" w:eastAsia="宋体" w:cs="宋体"/>
                      <w:i/>
                      <w:iCs/>
                      <w:color w:val="auto"/>
                      <w:kern w:val="0"/>
                      <w:sz w:val="21"/>
                      <w:szCs w:val="21"/>
                      <w:highlight w:val="none"/>
                    </w:rPr>
                    <w:t>TVL</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28</w:t>
                  </w:r>
                  <w:r>
                    <w:rPr>
                      <w:rFonts w:hint="eastAsia" w:ascii="宋体" w:hAnsi="宋体" w:eastAsia="宋体" w:cs="宋体"/>
                      <w:color w:val="auto"/>
                      <w:kern w:val="0"/>
                      <w:sz w:val="21"/>
                      <w:szCs w:val="21"/>
                      <w:highlight w:val="none"/>
                    </w:rPr>
                    <w:t>cm；</w:t>
                  </w:r>
                </w:p>
                <w:p>
                  <w:pPr>
                    <w:spacing w:line="240" w:lineRule="auto"/>
                    <w:jc w:val="center"/>
                    <w:rPr>
                      <w:rFonts w:hint="eastAsia" w:ascii="宋体" w:hAnsi="宋体" w:eastAsia="宋体" w:cs="宋体"/>
                      <w:color w:val="auto"/>
                      <w:kern w:val="0"/>
                      <w:position w:val="-6"/>
                      <w:sz w:val="21"/>
                      <w:szCs w:val="21"/>
                      <w:highlight w:val="none"/>
                    </w:rPr>
                  </w:pPr>
                  <w:r>
                    <w:rPr>
                      <w:rFonts w:hint="eastAsia" w:ascii="宋体" w:hAnsi="宋体" w:eastAsia="宋体" w:cs="宋体"/>
                      <w:i/>
                      <w:iCs/>
                      <w:color w:val="auto"/>
                      <w:kern w:val="0"/>
                      <w:position w:val="-6"/>
                      <w:sz w:val="21"/>
                      <w:szCs w:val="21"/>
                      <w:highlight w:val="none"/>
                    </w:rPr>
                    <w:t>F</w:t>
                  </w:r>
                  <w:r>
                    <w:rPr>
                      <w:rFonts w:hint="eastAsia" w:ascii="宋体" w:hAnsi="宋体" w:eastAsia="宋体" w:cs="宋体"/>
                      <w:color w:val="auto"/>
                      <w:kern w:val="0"/>
                      <w:position w:val="-6"/>
                      <w:sz w:val="21"/>
                      <w:szCs w:val="21"/>
                      <w:highlight w:val="none"/>
                    </w:rPr>
                    <w:t>=40×40=1600cm</w:t>
                  </w:r>
                  <w:r>
                    <w:rPr>
                      <w:rFonts w:hint="eastAsia" w:ascii="宋体" w:hAnsi="宋体" w:eastAsia="宋体" w:cs="宋体"/>
                      <w:color w:val="auto"/>
                      <w:kern w:val="0"/>
                      <w:position w:val="-6"/>
                      <w:sz w:val="21"/>
                      <w:szCs w:val="21"/>
                      <w:highlight w:val="none"/>
                      <w:vertAlign w:val="superscript"/>
                    </w:rPr>
                    <w:t>2</w:t>
                  </w:r>
                  <w:r>
                    <w:rPr>
                      <w:rFonts w:hint="eastAsia" w:ascii="宋体" w:hAnsi="宋体" w:eastAsia="宋体" w:cs="宋体"/>
                      <w:color w:val="auto"/>
                      <w:kern w:val="0"/>
                      <w:position w:val="-6"/>
                      <w:sz w:val="21"/>
                      <w:szCs w:val="21"/>
                      <w:highlight w:val="none"/>
                    </w:rPr>
                    <w:t>；</w:t>
                  </w:r>
                </w:p>
                <w:p>
                  <w:pPr>
                    <w:spacing w:line="240" w:lineRule="auto"/>
                    <w:jc w:val="center"/>
                    <w:rPr>
                      <w:rFonts w:hint="eastAsia" w:ascii="宋体" w:hAnsi="宋体" w:eastAsia="宋体" w:cs="宋体"/>
                      <w:color w:val="auto"/>
                      <w:kern w:val="0"/>
                      <w:position w:val="-6"/>
                      <w:sz w:val="21"/>
                      <w:szCs w:val="21"/>
                      <w:highlight w:val="none"/>
                    </w:rPr>
                  </w:pPr>
                  <w:r>
                    <w:rPr>
                      <w:rFonts w:hint="eastAsia" w:ascii="宋体" w:hAnsi="宋体" w:eastAsia="宋体" w:cs="宋体"/>
                      <w:i/>
                      <w:iCs/>
                      <w:color w:val="auto"/>
                      <w:kern w:val="0"/>
                      <w:sz w:val="21"/>
                      <w:szCs w:val="21"/>
                      <w:highlight w:val="none"/>
                    </w:rPr>
                    <w:t>X</w:t>
                  </w:r>
                  <w:r>
                    <w:rPr>
                      <w:rFonts w:hint="eastAsia" w:ascii="宋体" w:hAnsi="宋体" w:eastAsia="宋体" w:cs="宋体"/>
                      <w:color w:val="auto"/>
                      <w:kern w:val="0"/>
                      <w:sz w:val="21"/>
                      <w:szCs w:val="21"/>
                      <w:highlight w:val="none"/>
                    </w:rPr>
                    <w:t>=</w:t>
                  </w:r>
                  <w:r>
                    <w:rPr>
                      <w:rFonts w:hint="eastAsia" w:ascii="宋体" w:hAnsi="宋体" w:eastAsia="宋体" w:cs="宋体"/>
                      <w:i/>
                      <w:iCs/>
                      <w:color w:val="auto"/>
                      <w:kern w:val="0"/>
                      <w:sz w:val="21"/>
                      <w:szCs w:val="21"/>
                      <w:highlight w:val="none"/>
                    </w:rPr>
                    <w:t>Xe/cos</w:t>
                  </w:r>
                  <w:r>
                    <w:rPr>
                      <w:rFonts w:hint="eastAsia" w:ascii="宋体" w:hAnsi="宋体" w:eastAsia="宋体" w:cs="宋体"/>
                      <w:color w:val="auto"/>
                      <w:kern w:val="0"/>
                      <w:sz w:val="21"/>
                      <w:szCs w:val="21"/>
                      <w:highlight w:val="none"/>
                    </w:rPr>
                    <w:t>30°</w:t>
                  </w:r>
                  <w:r>
                    <w:rPr>
                      <w:rFonts w:hint="eastAsia" w:ascii="宋体" w:hAnsi="宋体" w:eastAsia="宋体" w:cs="宋体"/>
                      <w:color w:val="auto"/>
                      <w:kern w:val="0"/>
                      <w:position w:val="-6"/>
                      <w:sz w:val="21"/>
                      <w:szCs w:val="21"/>
                      <w:highlight w:val="none"/>
                    </w:rPr>
                    <w:t>=</w:t>
                  </w:r>
                  <w:r>
                    <w:rPr>
                      <w:rFonts w:hint="eastAsia" w:ascii="宋体" w:hAnsi="宋体" w:eastAsia="宋体" w:cs="宋体"/>
                      <w:color w:val="auto"/>
                      <w:kern w:val="0"/>
                      <w:position w:val="-6"/>
                      <w:sz w:val="21"/>
                      <w:szCs w:val="21"/>
                      <w:highlight w:val="none"/>
                      <w:lang w:val="en-US" w:eastAsia="zh-CN"/>
                    </w:rPr>
                    <w:t>196.3</w:t>
                  </w:r>
                  <w:r>
                    <w:rPr>
                      <w:rFonts w:hint="eastAsia" w:ascii="宋体" w:hAnsi="宋体" w:eastAsia="宋体" w:cs="宋体"/>
                      <w:color w:val="auto"/>
                      <w:kern w:val="0"/>
                      <w:position w:val="-6"/>
                      <w:sz w:val="21"/>
                      <w:szCs w:val="21"/>
                      <w:highlight w:val="none"/>
                    </w:rPr>
                    <w:t>cm</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position w:val="-6"/>
                      <w:sz w:val="21"/>
                      <w:szCs w:val="21"/>
                      <w:highlight w:val="none"/>
                    </w:rPr>
                    <w:object>
                      <v:shape id="_x0000_i1056" o:spt="75" type="#_x0000_t75" style="height:11.25pt;width:93.75pt;" o:ole="t" filled="f" o:preferrelative="t" stroked="f" coordsize="21600,21600">
                        <v:path/>
                        <v:fill on="f" focussize="0,0"/>
                        <v:stroke on="f" joinstyle="miter"/>
                        <v:imagedata r:id="rId62" o:title=""/>
                        <o:lock v:ext="edit" aspectratio="t"/>
                        <w10:wrap type="none"/>
                        <w10:anchorlock/>
                      </v:shape>
                      <o:OLEObject Type="Embed" ProgID="Equations" ShapeID="_x0000_i1056" DrawAspect="Content" ObjectID="_1468075756" r:id="rId70">
                        <o:LockedField>false</o:LockedField>
                      </o:OLEObject>
                    </w:object>
                  </w:r>
                  <w:r>
                    <w:rPr>
                      <w:rFonts w:hint="eastAsia" w:ascii="宋体" w:hAnsi="宋体" w:eastAsia="宋体" w:cs="宋体"/>
                      <w:color w:val="auto"/>
                      <w:kern w:val="0"/>
                      <w:position w:val="-6"/>
                      <w:sz w:val="21"/>
                      <w:szCs w:val="21"/>
                      <w:highlight w:val="none"/>
                    </w:rPr>
                    <w:t>=</w:t>
                  </w:r>
                  <w:r>
                    <w:rPr>
                      <w:rFonts w:hint="eastAsia" w:ascii="宋体" w:hAnsi="宋体" w:eastAsia="宋体" w:cs="宋体"/>
                      <w:color w:val="auto"/>
                      <w:kern w:val="0"/>
                      <w:position w:val="-6"/>
                      <w:sz w:val="21"/>
                      <w:szCs w:val="21"/>
                      <w:highlight w:val="none"/>
                      <w:lang w:val="en-US" w:eastAsia="zh-CN"/>
                    </w:rPr>
                    <w:t>9.76</w:t>
                  </w:r>
                  <w:r>
                    <w:rPr>
                      <w:rFonts w:hint="eastAsia" w:ascii="宋体" w:hAnsi="宋体" w:eastAsia="宋体" w:cs="宋体"/>
                      <w:color w:val="auto"/>
                      <w:kern w:val="0"/>
                      <w:position w:val="-6"/>
                      <w:sz w:val="21"/>
                      <w:szCs w:val="21"/>
                      <w:highlight w:val="none"/>
                    </w:rPr>
                    <w:t>×10</w:t>
                  </w:r>
                  <w:r>
                    <w:rPr>
                      <w:rFonts w:hint="eastAsia" w:ascii="宋体" w:hAnsi="宋体" w:eastAsia="宋体" w:cs="宋体"/>
                      <w:color w:val="auto"/>
                      <w:kern w:val="0"/>
                      <w:position w:val="-6"/>
                      <w:sz w:val="21"/>
                      <w:szCs w:val="21"/>
                      <w:highlight w:val="none"/>
                      <w:vertAlign w:val="superscript"/>
                    </w:rPr>
                    <w:t>-</w:t>
                  </w:r>
                  <w:r>
                    <w:rPr>
                      <w:rFonts w:hint="eastAsia" w:ascii="宋体" w:hAnsi="宋体" w:eastAsia="宋体" w:cs="宋体"/>
                      <w:color w:val="auto"/>
                      <w:kern w:val="0"/>
                      <w:position w:val="-6"/>
                      <w:sz w:val="21"/>
                      <w:szCs w:val="21"/>
                      <w:highlight w:val="none"/>
                      <w:vertAlign w:val="superscript"/>
                      <w:lang w:val="en-US" w:eastAsia="zh-CN"/>
                    </w:rPr>
                    <w:t>8</w:t>
                  </w:r>
                  <w:r>
                    <w:rPr>
                      <w:rFonts w:hint="eastAsia" w:ascii="宋体" w:hAnsi="宋体" w:eastAsia="宋体" w:cs="宋体"/>
                      <w:color w:val="auto"/>
                      <w:kern w:val="0"/>
                      <w:position w:val="-6"/>
                      <w:sz w:val="21"/>
                      <w:szCs w:val="21"/>
                      <w:highlight w:val="none"/>
                    </w:rPr>
                    <w:t>；</w:t>
                  </w:r>
                  <w:r>
                    <w:rPr>
                      <w:rFonts w:hint="eastAsia" w:ascii="宋体" w:hAnsi="宋体" w:eastAsia="宋体" w:cs="宋体"/>
                      <w:i/>
                      <w:iCs/>
                      <w:color w:val="auto"/>
                      <w:kern w:val="0"/>
                      <w:position w:val="-6"/>
                      <w:sz w:val="21"/>
                      <w:szCs w:val="21"/>
                      <w:highlight w:val="none"/>
                    </w:rPr>
                    <w:t>Rs</w:t>
                  </w:r>
                  <w:r>
                    <w:rPr>
                      <w:rFonts w:hint="eastAsia" w:ascii="宋体" w:hAnsi="宋体" w:eastAsia="宋体" w:cs="宋体"/>
                      <w:color w:val="auto"/>
                      <w:kern w:val="0"/>
                      <w:position w:val="-6"/>
                      <w:sz w:val="21"/>
                      <w:szCs w:val="21"/>
                      <w:highlight w:val="none"/>
                    </w:rPr>
                    <w:t>=</w:t>
                  </w:r>
                  <w:r>
                    <w:rPr>
                      <w:rFonts w:hint="eastAsia" w:ascii="宋体" w:hAnsi="宋体" w:eastAsia="宋体" w:cs="宋体"/>
                      <w:color w:val="auto"/>
                      <w:kern w:val="0"/>
                      <w:position w:val="-6"/>
                      <w:sz w:val="21"/>
                      <w:szCs w:val="21"/>
                      <w:highlight w:val="none"/>
                      <w:lang w:val="en-US" w:eastAsia="zh-CN"/>
                    </w:rPr>
                    <w:t>7.65</w:t>
                  </w:r>
                  <w:r>
                    <w:rPr>
                      <w:rFonts w:hint="eastAsia" w:ascii="宋体" w:hAnsi="宋体" w:eastAsia="宋体" w:cs="宋体"/>
                      <w:color w:val="auto"/>
                      <w:kern w:val="0"/>
                      <w:position w:val="-6"/>
                      <w:sz w:val="21"/>
                      <w:szCs w:val="21"/>
                      <w:highlight w:val="none"/>
                    </w:rPr>
                    <w:t>m</w:t>
                  </w:r>
                </w:p>
              </w:tc>
              <w:tc>
                <w:tcPr>
                  <w:tcW w:w="1080" w:type="dxa"/>
                  <w:tcBorders>
                    <w:tl2br w:val="nil"/>
                    <w:tr2bl w:val="nil"/>
                  </w:tcBorders>
                  <w:vAlign w:val="center"/>
                </w:tcPr>
                <w:p>
                  <w:pPr>
                    <w:spacing w:line="240" w:lineRule="auto"/>
                    <w:jc w:val="center"/>
                    <w:rPr>
                      <w:rFonts w:hint="eastAsia" w:ascii="宋体" w:hAnsi="宋体" w:eastAsia="宋体" w:cs="宋体"/>
                      <w:color w:val="0000FF"/>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0.008</w:t>
                  </w:r>
                </w:p>
              </w:tc>
              <w:tc>
                <w:tcPr>
                  <w:tcW w:w="879" w:type="dxa"/>
                  <w:vMerge w:val="continue"/>
                  <w:tcBorders>
                    <w:tl2br w:val="nil"/>
                    <w:tr2bl w:val="nil"/>
                  </w:tcBorders>
                  <w:vAlign w:val="center"/>
                </w:tcPr>
                <w:p>
                  <w:pPr>
                    <w:spacing w:line="240" w:lineRule="auto"/>
                    <w:jc w:val="center"/>
                    <w:rPr>
                      <w:rFonts w:hint="eastAsia" w:ascii="宋体" w:hAnsi="宋体" w:eastAsia="宋体" w:cs="宋体"/>
                      <w:color w:val="0000FF"/>
                      <w:kern w:val="0"/>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87" w:type="dxa"/>
                  <w:vMerge w:val="continue"/>
                  <w:tcBorders>
                    <w:tl2br w:val="nil"/>
                    <w:tr2bl w:val="nil"/>
                  </w:tcBorders>
                  <w:vAlign w:val="center"/>
                </w:tcPr>
                <w:p>
                  <w:pPr>
                    <w:spacing w:line="240" w:lineRule="auto"/>
                    <w:jc w:val="center"/>
                    <w:rPr>
                      <w:rFonts w:hint="eastAsia" w:ascii="宋体" w:hAnsi="宋体" w:eastAsia="宋体" w:cs="宋体"/>
                      <w:color w:val="0000FF"/>
                      <w:kern w:val="0"/>
                      <w:sz w:val="21"/>
                      <w:szCs w:val="21"/>
                      <w:highlight w:val="none"/>
                    </w:rPr>
                  </w:pPr>
                </w:p>
              </w:tc>
              <w:tc>
                <w:tcPr>
                  <w:tcW w:w="1286" w:type="dxa"/>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lang w:val="en-US" w:eastAsia="zh-CN"/>
                    </w:rPr>
                    <w:t>6</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南侧屏蔽墙外</w:t>
                  </w:r>
                  <w:r>
                    <w:rPr>
                      <w:rFonts w:hint="eastAsia" w:ascii="宋体" w:hAnsi="宋体" w:eastAsia="宋体" w:cs="宋体"/>
                      <w:color w:val="auto"/>
                      <w:kern w:val="0"/>
                      <w:sz w:val="21"/>
                      <w:szCs w:val="21"/>
                      <w:highlight w:val="none"/>
                    </w:rPr>
                    <w:t>）</w:t>
                  </w:r>
                </w:p>
              </w:tc>
              <w:tc>
                <w:tcPr>
                  <w:tcW w:w="1408" w:type="dxa"/>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泄漏辐射</w:t>
                  </w:r>
                </w:p>
              </w:tc>
              <w:tc>
                <w:tcPr>
                  <w:tcW w:w="3482" w:type="dxa"/>
                  <w:tcBorders>
                    <w:tl2br w:val="nil"/>
                    <w:tr2bl w:val="nil"/>
                  </w:tcBorders>
                  <w:vAlign w:val="top"/>
                </w:tcPr>
                <w:p>
                  <w:pPr>
                    <w:spacing w:line="240" w:lineRule="auto"/>
                    <w:jc w:val="center"/>
                    <w:rPr>
                      <w:rFonts w:hint="eastAsia" w:ascii="宋体" w:hAnsi="宋体" w:eastAsia="宋体" w:cs="宋体"/>
                      <w:color w:val="auto"/>
                      <w:kern w:val="0"/>
                      <w:position w:val="-6"/>
                      <w:sz w:val="21"/>
                      <w:szCs w:val="21"/>
                      <w:highlight w:val="none"/>
                      <w:lang w:val="en-US" w:eastAsia="zh-CN"/>
                    </w:rPr>
                  </w:pPr>
                  <w:r>
                    <w:rPr>
                      <w:rFonts w:hint="eastAsia" w:ascii="宋体" w:hAnsi="宋体" w:eastAsia="宋体" w:cs="宋体"/>
                      <w:color w:val="auto"/>
                      <w:kern w:val="0"/>
                      <w:position w:val="-6"/>
                      <w:sz w:val="21"/>
                      <w:szCs w:val="21"/>
                      <w:highlight w:val="none"/>
                    </w:rPr>
                    <w:object>
                      <v:shape id="_x0000_i1057" o:spt="75" type="#_x0000_t75" style="height:17.25pt;width:13.9pt;" o:ole="t" filled="f" o:preferrelative="t" stroked="f" coordsize="21600,21600">
                        <v:path/>
                        <v:fill on="f" focussize="0,0"/>
                        <v:stroke on="f" joinstyle="miter"/>
                        <v:imagedata r:id="rId56" o:title=""/>
                        <o:lock v:ext="edit" aspectratio="t"/>
                        <w10:wrap type="none"/>
                        <w10:anchorlock/>
                      </v:shape>
                      <o:OLEObject Type="Embed" ProgID="Equation.KSEE3" ShapeID="_x0000_i1057" DrawAspect="Content" ObjectID="_1468075757" r:id="rId71">
                        <o:LockedField>false</o:LockedField>
                      </o:OLEObject>
                    </w:objec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3.6</w:t>
                  </w:r>
                  <w:r>
                    <w:rPr>
                      <w:rFonts w:hint="eastAsia" w:ascii="宋体" w:hAnsi="宋体" w:eastAsia="宋体" w:cs="宋体"/>
                      <w:color w:val="auto"/>
                      <w:kern w:val="0"/>
                      <w:sz w:val="21"/>
                      <w:szCs w:val="21"/>
                      <w:highlight w:val="none"/>
                    </w:rPr>
                    <w:t>×10</w:t>
                  </w:r>
                  <w:r>
                    <w:rPr>
                      <w:rFonts w:hint="eastAsia" w:ascii="宋体" w:hAnsi="宋体" w:eastAsia="宋体" w:cs="宋体"/>
                      <w:color w:val="auto"/>
                      <w:kern w:val="0"/>
                      <w:sz w:val="21"/>
                      <w:szCs w:val="21"/>
                      <w:highlight w:val="none"/>
                      <w:vertAlign w:val="superscript"/>
                    </w:rPr>
                    <w:t>8</w:t>
                  </w:r>
                  <w:r>
                    <w:rPr>
                      <w:rFonts w:hint="eastAsia" w:ascii="宋体" w:hAnsi="宋体" w:eastAsia="宋体" w:cs="宋体"/>
                      <w:color w:val="auto"/>
                      <w:kern w:val="0"/>
                      <w:sz w:val="21"/>
                      <w:szCs w:val="21"/>
                      <w:highlight w:val="none"/>
                    </w:rPr>
                    <w:t>μSv·m</w:t>
                  </w:r>
                  <w:r>
                    <w:rPr>
                      <w:rFonts w:hint="eastAsia" w:ascii="宋体" w:hAnsi="宋体" w:eastAsia="宋体" w:cs="宋体"/>
                      <w:color w:val="auto"/>
                      <w:kern w:val="0"/>
                      <w:sz w:val="21"/>
                      <w:szCs w:val="21"/>
                      <w:highlight w:val="none"/>
                      <w:vertAlign w:val="superscript"/>
                    </w:rPr>
                    <w:t>2</w:t>
                  </w:r>
                  <w:r>
                    <w:rPr>
                      <w:rFonts w:hint="eastAsia" w:ascii="宋体" w:hAnsi="宋体" w:eastAsia="宋体" w:cs="宋体"/>
                      <w:color w:val="auto"/>
                      <w:kern w:val="0"/>
                      <w:sz w:val="21"/>
                      <w:szCs w:val="21"/>
                      <w:highlight w:val="none"/>
                    </w:rPr>
                    <w:t>·h</w:t>
                  </w:r>
                  <w:r>
                    <w:rPr>
                      <w:rFonts w:hint="eastAsia" w:ascii="宋体" w:hAnsi="宋体" w:eastAsia="宋体" w:cs="宋体"/>
                      <w:color w:val="auto"/>
                      <w:kern w:val="0"/>
                      <w:sz w:val="21"/>
                      <w:szCs w:val="21"/>
                      <w:highlight w:val="none"/>
                      <w:vertAlign w:val="superscript"/>
                    </w:rPr>
                    <w:t>-1</w:t>
                  </w:r>
                  <w:r>
                    <w:rPr>
                      <w:rFonts w:hint="eastAsia" w:ascii="宋体" w:hAnsi="宋体" w:eastAsia="宋体" w:cs="宋体"/>
                      <w:color w:val="auto"/>
                      <w:kern w:val="0"/>
                      <w:sz w:val="21"/>
                      <w:szCs w:val="21"/>
                      <w:highlight w:val="none"/>
                    </w:rPr>
                    <w:t>；</w:t>
                  </w:r>
                  <w:r>
                    <w:rPr>
                      <w:rFonts w:hint="eastAsia" w:ascii="宋体" w:hAnsi="宋体" w:eastAsia="宋体" w:cs="宋体"/>
                      <w:i/>
                      <w:iCs/>
                      <w:color w:val="auto"/>
                      <w:kern w:val="0"/>
                      <w:sz w:val="21"/>
                      <w:szCs w:val="21"/>
                      <w:highlight w:val="none"/>
                    </w:rPr>
                    <w:t>f</w:t>
                  </w:r>
                  <w:r>
                    <w:rPr>
                      <w:rFonts w:hint="eastAsia" w:ascii="宋体" w:hAnsi="宋体" w:eastAsia="宋体" w:cs="宋体"/>
                      <w:color w:val="auto"/>
                      <w:kern w:val="0"/>
                      <w:sz w:val="21"/>
                      <w:szCs w:val="21"/>
                      <w:highlight w:val="none"/>
                    </w:rPr>
                    <w:t>=10</w:t>
                  </w:r>
                  <w:r>
                    <w:rPr>
                      <w:rFonts w:hint="eastAsia" w:ascii="宋体" w:hAnsi="宋体" w:eastAsia="宋体" w:cs="宋体"/>
                      <w:color w:val="auto"/>
                      <w:kern w:val="0"/>
                      <w:sz w:val="21"/>
                      <w:szCs w:val="21"/>
                      <w:highlight w:val="none"/>
                      <w:vertAlign w:val="superscript"/>
                    </w:rPr>
                    <w:t>-3</w:t>
                  </w:r>
                  <w:r>
                    <w:rPr>
                      <w:rFonts w:hint="eastAsia" w:ascii="宋体" w:hAnsi="宋体" w:eastAsia="宋体" w:cs="宋体"/>
                      <w:color w:val="auto"/>
                      <w:kern w:val="0"/>
                      <w:sz w:val="21"/>
                      <w:szCs w:val="21"/>
                      <w:highlight w:val="none"/>
                    </w:rPr>
                    <w:t>；</w:t>
                  </w:r>
                  <w:r>
                    <w:rPr>
                      <w:rFonts w:hint="eastAsia" w:ascii="宋体" w:hAnsi="宋体" w:eastAsia="宋体" w:cs="宋体"/>
                      <w:i/>
                      <w:iCs/>
                      <w:color w:val="auto"/>
                      <w:kern w:val="0"/>
                      <w:sz w:val="21"/>
                      <w:szCs w:val="21"/>
                      <w:highlight w:val="none"/>
                    </w:rPr>
                    <w:t>R</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10.8</w:t>
                  </w:r>
                  <w:r>
                    <w:rPr>
                      <w:rFonts w:hint="eastAsia" w:ascii="宋体" w:hAnsi="宋体" w:eastAsia="宋体" w:cs="宋体"/>
                      <w:color w:val="auto"/>
                      <w:kern w:val="0"/>
                      <w:sz w:val="21"/>
                      <w:szCs w:val="21"/>
                      <w:highlight w:val="none"/>
                    </w:rPr>
                    <w:t>m；</w:t>
                  </w:r>
                  <w:r>
                    <w:rPr>
                      <w:rFonts w:hint="eastAsia" w:ascii="宋体" w:hAnsi="宋体" w:eastAsia="宋体" w:cs="宋体"/>
                      <w:i/>
                      <w:iCs/>
                      <w:color w:val="auto"/>
                      <w:kern w:val="0"/>
                      <w:sz w:val="21"/>
                      <w:szCs w:val="21"/>
                      <w:highlight w:val="none"/>
                    </w:rPr>
                    <w:t>TVL</w:t>
                  </w:r>
                  <w:r>
                    <w:rPr>
                      <w:rFonts w:hint="eastAsia" w:ascii="宋体" w:hAnsi="宋体" w:eastAsia="宋体" w:cs="宋体"/>
                      <w:color w:val="auto"/>
                      <w:kern w:val="0"/>
                      <w:sz w:val="21"/>
                      <w:szCs w:val="21"/>
                      <w:highlight w:val="none"/>
                      <w:vertAlign w:val="subscript"/>
                    </w:rPr>
                    <w:t>1</w:t>
                  </w:r>
                  <w:r>
                    <w:rPr>
                      <w:rFonts w:hint="eastAsia" w:ascii="宋体" w:hAnsi="宋体" w:eastAsia="宋体" w:cs="宋体"/>
                      <w:color w:val="auto"/>
                      <w:kern w:val="0"/>
                      <w:sz w:val="21"/>
                      <w:szCs w:val="21"/>
                      <w:highlight w:val="none"/>
                    </w:rPr>
                    <w:t>=3</w:t>
                  </w:r>
                  <w:r>
                    <w:rPr>
                      <w:rFonts w:hint="eastAsia" w:ascii="宋体" w:hAnsi="宋体" w:eastAsia="宋体" w:cs="宋体"/>
                      <w:color w:val="auto"/>
                      <w:kern w:val="0"/>
                      <w:sz w:val="21"/>
                      <w:szCs w:val="21"/>
                      <w:highlight w:val="none"/>
                      <w:lang w:val="en-US" w:eastAsia="zh-CN"/>
                    </w:rPr>
                    <w:t>5</w:t>
                  </w:r>
                  <w:r>
                    <w:rPr>
                      <w:rFonts w:hint="eastAsia" w:ascii="宋体" w:hAnsi="宋体" w:eastAsia="宋体" w:cs="宋体"/>
                      <w:color w:val="auto"/>
                      <w:kern w:val="0"/>
                      <w:sz w:val="21"/>
                      <w:szCs w:val="21"/>
                      <w:highlight w:val="none"/>
                    </w:rPr>
                    <w:t>cm；</w:t>
                  </w:r>
                  <w:r>
                    <w:rPr>
                      <w:rFonts w:hint="eastAsia" w:ascii="宋体" w:hAnsi="宋体" w:eastAsia="宋体" w:cs="宋体"/>
                      <w:i/>
                      <w:iCs/>
                      <w:color w:val="auto"/>
                      <w:kern w:val="0"/>
                      <w:sz w:val="21"/>
                      <w:szCs w:val="21"/>
                      <w:highlight w:val="none"/>
                    </w:rPr>
                    <w:t>TVL</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31</w:t>
                  </w:r>
                  <w:r>
                    <w:rPr>
                      <w:rFonts w:hint="eastAsia" w:ascii="宋体" w:hAnsi="宋体" w:eastAsia="宋体" w:cs="宋体"/>
                      <w:color w:val="auto"/>
                      <w:kern w:val="0"/>
                      <w:sz w:val="21"/>
                      <w:szCs w:val="21"/>
                      <w:highlight w:val="none"/>
                    </w:rPr>
                    <w:t>cm；</w:t>
                  </w:r>
                  <w:r>
                    <w:rPr>
                      <w:rFonts w:hint="eastAsia" w:ascii="宋体" w:hAnsi="宋体" w:eastAsia="宋体" w:cs="宋体"/>
                      <w:i/>
                      <w:iCs/>
                      <w:color w:val="auto"/>
                      <w:kern w:val="0"/>
                      <w:sz w:val="21"/>
                      <w:szCs w:val="21"/>
                      <w:highlight w:val="none"/>
                    </w:rPr>
                    <w:t>X</w:t>
                  </w:r>
                  <w:r>
                    <w:rPr>
                      <w:rFonts w:hint="eastAsia" w:ascii="宋体" w:hAnsi="宋体" w:eastAsia="宋体" w:cs="宋体"/>
                      <w:color w:val="auto"/>
                      <w:kern w:val="0"/>
                      <w:sz w:val="21"/>
                      <w:szCs w:val="21"/>
                      <w:highlight w:val="none"/>
                    </w:rPr>
                    <w:t>=</w:t>
                  </w:r>
                  <w:r>
                    <w:rPr>
                      <w:rFonts w:hint="eastAsia" w:ascii="宋体" w:hAnsi="宋体" w:eastAsia="宋体" w:cs="宋体"/>
                      <w:i/>
                      <w:iCs/>
                      <w:color w:val="auto"/>
                      <w:kern w:val="0"/>
                      <w:sz w:val="21"/>
                      <w:szCs w:val="21"/>
                      <w:highlight w:val="none"/>
                    </w:rPr>
                    <w:t>Xe/cos</w:t>
                  </w:r>
                  <w:r>
                    <w:rPr>
                      <w:rFonts w:hint="eastAsia" w:ascii="宋体" w:hAnsi="宋体" w:eastAsia="宋体" w:cs="宋体"/>
                      <w:color w:val="auto"/>
                      <w:kern w:val="0"/>
                      <w:sz w:val="21"/>
                      <w:szCs w:val="21"/>
                      <w:highlight w:val="none"/>
                    </w:rPr>
                    <w:t>30°=</w:t>
                  </w:r>
                  <w:r>
                    <w:rPr>
                      <w:rFonts w:hint="eastAsia" w:ascii="宋体" w:hAnsi="宋体" w:eastAsia="宋体" w:cs="宋体"/>
                      <w:color w:val="auto"/>
                      <w:kern w:val="0"/>
                      <w:sz w:val="21"/>
                      <w:szCs w:val="21"/>
                      <w:highlight w:val="none"/>
                      <w:lang w:val="en-US" w:eastAsia="zh-CN"/>
                    </w:rPr>
                    <w:t>173.2</w:t>
                  </w:r>
                  <w:r>
                    <w:rPr>
                      <w:rFonts w:hint="eastAsia" w:ascii="宋体" w:hAnsi="宋体" w:eastAsia="宋体" w:cs="宋体"/>
                      <w:color w:val="auto"/>
                      <w:kern w:val="0"/>
                      <w:sz w:val="21"/>
                      <w:szCs w:val="21"/>
                      <w:highlight w:val="none"/>
                    </w:rPr>
                    <w:t>cm；</w:t>
                  </w:r>
                  <w:r>
                    <w:rPr>
                      <w:rFonts w:hint="eastAsia" w:ascii="宋体" w:hAnsi="宋体" w:eastAsia="宋体" w:cs="宋体"/>
                      <w:color w:val="auto"/>
                      <w:kern w:val="0"/>
                      <w:position w:val="-6"/>
                      <w:sz w:val="21"/>
                      <w:szCs w:val="21"/>
                      <w:highlight w:val="none"/>
                    </w:rPr>
                    <w:object>
                      <v:shape id="_x0000_i1058" o:spt="75" type="#_x0000_t75" style="height:12pt;width:94.15pt;" o:ole="t" filled="f" o:preferrelative="t" stroked="f" coordsize="21600,21600">
                        <v:path/>
                        <v:fill on="f" focussize="0,0"/>
                        <v:stroke on="f" joinstyle="miter"/>
                        <v:imagedata r:id="rId28" o:title=""/>
                        <o:lock v:ext="edit" aspectratio="t"/>
                        <w10:wrap type="none"/>
                        <w10:anchorlock/>
                      </v:shape>
                      <o:OLEObject Type="Embed" ProgID="Equations" ShapeID="_x0000_i1058" DrawAspect="Content" ObjectID="_1468075758" r:id="rId72">
                        <o:LockedField>false</o:LockedField>
                      </o:OLEObject>
                    </w:object>
                  </w:r>
                  <w:r>
                    <w:rPr>
                      <w:rFonts w:hint="eastAsia" w:ascii="宋体" w:hAnsi="宋体" w:eastAsia="宋体" w:cs="宋体"/>
                      <w:color w:val="auto"/>
                      <w:kern w:val="0"/>
                      <w:position w:val="-6"/>
                      <w:sz w:val="21"/>
                      <w:szCs w:val="21"/>
                      <w:highlight w:val="none"/>
                    </w:rPr>
                    <w:t>=</w:t>
                  </w:r>
                  <w:r>
                    <w:rPr>
                      <w:rFonts w:hint="eastAsia" w:ascii="宋体" w:hAnsi="宋体" w:eastAsia="宋体" w:cs="宋体"/>
                      <w:color w:val="auto"/>
                      <w:kern w:val="0"/>
                      <w:position w:val="-6"/>
                      <w:sz w:val="21"/>
                      <w:szCs w:val="21"/>
                      <w:highlight w:val="none"/>
                      <w:lang w:val="en-US" w:eastAsia="zh-CN"/>
                    </w:rPr>
                    <w:t>3.48</w:t>
                  </w:r>
                  <w:r>
                    <w:rPr>
                      <w:rFonts w:hint="eastAsia" w:ascii="宋体" w:hAnsi="宋体" w:eastAsia="宋体" w:cs="宋体"/>
                      <w:color w:val="auto"/>
                      <w:kern w:val="0"/>
                      <w:position w:val="-6"/>
                      <w:sz w:val="21"/>
                      <w:szCs w:val="21"/>
                      <w:highlight w:val="none"/>
                    </w:rPr>
                    <w:t>×10</w:t>
                  </w:r>
                  <w:r>
                    <w:rPr>
                      <w:rFonts w:hint="eastAsia" w:ascii="宋体" w:hAnsi="宋体" w:eastAsia="宋体" w:cs="宋体"/>
                      <w:color w:val="auto"/>
                      <w:kern w:val="0"/>
                      <w:position w:val="-6"/>
                      <w:sz w:val="21"/>
                      <w:szCs w:val="21"/>
                      <w:highlight w:val="none"/>
                      <w:vertAlign w:val="superscript"/>
                    </w:rPr>
                    <w:t>-</w:t>
                  </w:r>
                  <w:r>
                    <w:rPr>
                      <w:rFonts w:hint="eastAsia" w:ascii="宋体" w:hAnsi="宋体" w:eastAsia="宋体" w:cs="宋体"/>
                      <w:color w:val="auto"/>
                      <w:kern w:val="0"/>
                      <w:position w:val="-6"/>
                      <w:sz w:val="21"/>
                      <w:szCs w:val="21"/>
                      <w:highlight w:val="none"/>
                      <w:vertAlign w:val="superscript"/>
                      <w:lang w:val="en-US" w:eastAsia="zh-CN"/>
                    </w:rPr>
                    <w:t>6</w:t>
                  </w:r>
                </w:p>
              </w:tc>
              <w:tc>
                <w:tcPr>
                  <w:tcW w:w="1959" w:type="dxa"/>
                  <w:gridSpan w:val="2"/>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0.011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87" w:type="dxa"/>
                  <w:vMerge w:val="continue"/>
                  <w:tcBorders>
                    <w:tl2br w:val="nil"/>
                    <w:tr2bl w:val="nil"/>
                  </w:tcBorders>
                  <w:vAlign w:val="center"/>
                </w:tcPr>
                <w:p>
                  <w:pPr>
                    <w:spacing w:line="240" w:lineRule="auto"/>
                    <w:jc w:val="center"/>
                    <w:rPr>
                      <w:rFonts w:hint="eastAsia" w:ascii="宋体" w:hAnsi="宋体" w:eastAsia="宋体" w:cs="宋体"/>
                      <w:color w:val="0000FF"/>
                      <w:kern w:val="0"/>
                      <w:sz w:val="21"/>
                      <w:szCs w:val="21"/>
                      <w:highlight w:val="none"/>
                    </w:rPr>
                  </w:pPr>
                </w:p>
              </w:tc>
              <w:tc>
                <w:tcPr>
                  <w:tcW w:w="1286" w:type="dxa"/>
                  <w:vMerge w:val="restart"/>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lang w:val="en-US" w:eastAsia="zh-CN"/>
                    </w:rPr>
                    <w:t>迷路入口处</w:t>
                  </w:r>
                  <w:r>
                    <w:rPr>
                      <w:rFonts w:hint="eastAsia" w:ascii="宋体" w:hAnsi="宋体" w:eastAsia="宋体" w:cs="宋体"/>
                      <w:color w:val="auto"/>
                      <w:kern w:val="0"/>
                      <w:sz w:val="21"/>
                      <w:szCs w:val="21"/>
                      <w:highlight w:val="none"/>
                    </w:rPr>
                    <w:t>（屏蔽门内）</w:t>
                  </w:r>
                </w:p>
              </w:tc>
              <w:tc>
                <w:tcPr>
                  <w:tcW w:w="1408" w:type="dxa"/>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rPr>
                    <w:t>泄露辐射</w:t>
                  </w:r>
                </w:p>
              </w:tc>
              <w:tc>
                <w:tcPr>
                  <w:tcW w:w="3482" w:type="dxa"/>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position w:val="-6"/>
                      <w:sz w:val="21"/>
                      <w:szCs w:val="21"/>
                      <w:highlight w:val="none"/>
                    </w:rPr>
                    <w:object>
                      <v:shape id="_x0000_i1059" o:spt="75" type="#_x0000_t75" style="height:17.25pt;width:13.9pt;" o:ole="t" filled="f" o:preferrelative="t" stroked="f" coordsize="21600,21600">
                        <v:path/>
                        <v:fill on="f" focussize="0,0"/>
                        <v:stroke on="f" joinstyle="miter"/>
                        <v:imagedata r:id="rId56" o:title=""/>
                        <o:lock v:ext="edit" aspectratio="t"/>
                        <w10:wrap type="none"/>
                        <w10:anchorlock/>
                      </v:shape>
                      <o:OLEObject Type="Embed" ProgID="Equation.KSEE3" ShapeID="_x0000_i1059" DrawAspect="Content" ObjectID="_1468075759" r:id="rId73">
                        <o:LockedField>false</o:LockedField>
                      </o:OLEObject>
                    </w:objec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3.6</w:t>
                  </w:r>
                  <w:r>
                    <w:rPr>
                      <w:rFonts w:hint="eastAsia" w:ascii="宋体" w:hAnsi="宋体" w:eastAsia="宋体" w:cs="宋体"/>
                      <w:color w:val="auto"/>
                      <w:kern w:val="0"/>
                      <w:sz w:val="21"/>
                      <w:szCs w:val="21"/>
                      <w:highlight w:val="none"/>
                    </w:rPr>
                    <w:t>×10</w:t>
                  </w:r>
                  <w:r>
                    <w:rPr>
                      <w:rFonts w:hint="eastAsia" w:ascii="宋体" w:hAnsi="宋体" w:eastAsia="宋体" w:cs="宋体"/>
                      <w:color w:val="auto"/>
                      <w:kern w:val="0"/>
                      <w:sz w:val="21"/>
                      <w:szCs w:val="21"/>
                      <w:highlight w:val="none"/>
                      <w:vertAlign w:val="superscript"/>
                    </w:rPr>
                    <w:t>8</w:t>
                  </w:r>
                  <w:r>
                    <w:rPr>
                      <w:rFonts w:hint="eastAsia" w:ascii="宋体" w:hAnsi="宋体" w:eastAsia="宋体" w:cs="宋体"/>
                      <w:color w:val="auto"/>
                      <w:kern w:val="0"/>
                      <w:sz w:val="21"/>
                      <w:szCs w:val="21"/>
                      <w:highlight w:val="none"/>
                    </w:rPr>
                    <w:t>μSv·m</w:t>
                  </w:r>
                  <w:r>
                    <w:rPr>
                      <w:rFonts w:hint="eastAsia" w:ascii="宋体" w:hAnsi="宋体" w:eastAsia="宋体" w:cs="宋体"/>
                      <w:color w:val="auto"/>
                      <w:kern w:val="0"/>
                      <w:sz w:val="21"/>
                      <w:szCs w:val="21"/>
                      <w:highlight w:val="none"/>
                      <w:vertAlign w:val="superscript"/>
                    </w:rPr>
                    <w:t>2</w:t>
                  </w:r>
                  <w:r>
                    <w:rPr>
                      <w:rFonts w:hint="eastAsia" w:ascii="宋体" w:hAnsi="宋体" w:eastAsia="宋体" w:cs="宋体"/>
                      <w:color w:val="auto"/>
                      <w:kern w:val="0"/>
                      <w:sz w:val="21"/>
                      <w:szCs w:val="21"/>
                      <w:highlight w:val="none"/>
                    </w:rPr>
                    <w:t>·h</w:t>
                  </w:r>
                  <w:r>
                    <w:rPr>
                      <w:rFonts w:hint="eastAsia" w:ascii="宋体" w:hAnsi="宋体" w:eastAsia="宋体" w:cs="宋体"/>
                      <w:color w:val="auto"/>
                      <w:kern w:val="0"/>
                      <w:sz w:val="21"/>
                      <w:szCs w:val="21"/>
                      <w:highlight w:val="none"/>
                      <w:vertAlign w:val="superscript"/>
                    </w:rPr>
                    <w:t>-1</w:t>
                  </w:r>
                  <w:r>
                    <w:rPr>
                      <w:rFonts w:hint="eastAsia" w:ascii="宋体" w:hAnsi="宋体" w:eastAsia="宋体" w:cs="宋体"/>
                      <w:color w:val="auto"/>
                      <w:kern w:val="0"/>
                      <w:sz w:val="21"/>
                      <w:szCs w:val="21"/>
                      <w:highlight w:val="none"/>
                    </w:rPr>
                    <w:t>；</w:t>
                  </w:r>
                  <w:r>
                    <w:rPr>
                      <w:rFonts w:hint="eastAsia" w:ascii="宋体" w:hAnsi="宋体" w:eastAsia="宋体" w:cs="宋体"/>
                      <w:i/>
                      <w:iCs/>
                      <w:color w:val="auto"/>
                      <w:kern w:val="0"/>
                      <w:sz w:val="21"/>
                      <w:szCs w:val="21"/>
                      <w:highlight w:val="none"/>
                    </w:rPr>
                    <w:t>f</w:t>
                  </w:r>
                  <w:r>
                    <w:rPr>
                      <w:rFonts w:hint="eastAsia" w:ascii="宋体" w:hAnsi="宋体" w:eastAsia="宋体" w:cs="宋体"/>
                      <w:color w:val="auto"/>
                      <w:kern w:val="0"/>
                      <w:sz w:val="21"/>
                      <w:szCs w:val="21"/>
                      <w:highlight w:val="none"/>
                    </w:rPr>
                    <w:t>=10</w:t>
                  </w:r>
                  <w:r>
                    <w:rPr>
                      <w:rFonts w:hint="eastAsia" w:ascii="宋体" w:hAnsi="宋体" w:eastAsia="宋体" w:cs="宋体"/>
                      <w:color w:val="auto"/>
                      <w:kern w:val="0"/>
                      <w:sz w:val="21"/>
                      <w:szCs w:val="21"/>
                      <w:highlight w:val="none"/>
                      <w:vertAlign w:val="superscript"/>
                    </w:rPr>
                    <w:t>-3</w:t>
                  </w:r>
                  <w:r>
                    <w:rPr>
                      <w:rFonts w:hint="eastAsia" w:ascii="宋体" w:hAnsi="宋体" w:eastAsia="宋体" w:cs="宋体"/>
                      <w:color w:val="auto"/>
                      <w:kern w:val="0"/>
                      <w:sz w:val="21"/>
                      <w:szCs w:val="21"/>
                      <w:highlight w:val="none"/>
                    </w:rPr>
                    <w:t>；</w:t>
                  </w:r>
                  <w:r>
                    <w:rPr>
                      <w:rFonts w:hint="eastAsia" w:ascii="宋体" w:hAnsi="宋体" w:eastAsia="宋体" w:cs="宋体"/>
                      <w:i/>
                      <w:iCs/>
                      <w:color w:val="auto"/>
                      <w:kern w:val="0"/>
                      <w:sz w:val="21"/>
                      <w:szCs w:val="21"/>
                      <w:highlight w:val="none"/>
                    </w:rPr>
                    <w:t>R</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10.15</w:t>
                  </w:r>
                  <w:r>
                    <w:rPr>
                      <w:rFonts w:hint="eastAsia" w:ascii="宋体" w:hAnsi="宋体" w:eastAsia="宋体" w:cs="宋体"/>
                      <w:color w:val="auto"/>
                      <w:kern w:val="0"/>
                      <w:sz w:val="21"/>
                      <w:szCs w:val="21"/>
                      <w:highlight w:val="none"/>
                    </w:rPr>
                    <w:t>m；</w:t>
                  </w:r>
                  <w:r>
                    <w:rPr>
                      <w:rFonts w:hint="eastAsia" w:ascii="宋体" w:hAnsi="宋体" w:eastAsia="宋体" w:cs="宋体"/>
                      <w:i/>
                      <w:iCs/>
                      <w:color w:val="auto"/>
                      <w:kern w:val="0"/>
                      <w:sz w:val="21"/>
                      <w:szCs w:val="21"/>
                      <w:highlight w:val="none"/>
                    </w:rPr>
                    <w:t>TVL</w:t>
                  </w:r>
                  <w:r>
                    <w:rPr>
                      <w:rFonts w:hint="eastAsia" w:ascii="宋体" w:hAnsi="宋体" w:eastAsia="宋体" w:cs="宋体"/>
                      <w:color w:val="auto"/>
                      <w:kern w:val="0"/>
                      <w:sz w:val="21"/>
                      <w:szCs w:val="21"/>
                      <w:highlight w:val="none"/>
                      <w:vertAlign w:val="subscript"/>
                    </w:rPr>
                    <w:t>1</w:t>
                  </w:r>
                  <w:r>
                    <w:rPr>
                      <w:rFonts w:hint="eastAsia" w:ascii="宋体" w:hAnsi="宋体" w:eastAsia="宋体" w:cs="宋体"/>
                      <w:color w:val="auto"/>
                      <w:kern w:val="0"/>
                      <w:sz w:val="21"/>
                      <w:szCs w:val="21"/>
                      <w:highlight w:val="none"/>
                    </w:rPr>
                    <w:t>=3</w:t>
                  </w:r>
                  <w:r>
                    <w:rPr>
                      <w:rFonts w:hint="eastAsia" w:ascii="宋体" w:hAnsi="宋体" w:eastAsia="宋体" w:cs="宋体"/>
                      <w:color w:val="auto"/>
                      <w:kern w:val="0"/>
                      <w:sz w:val="21"/>
                      <w:szCs w:val="21"/>
                      <w:highlight w:val="none"/>
                      <w:lang w:val="en-US" w:eastAsia="zh-CN"/>
                    </w:rPr>
                    <w:t>5</w:t>
                  </w:r>
                  <w:r>
                    <w:rPr>
                      <w:rFonts w:hint="eastAsia" w:ascii="宋体" w:hAnsi="宋体" w:eastAsia="宋体" w:cs="宋体"/>
                      <w:color w:val="auto"/>
                      <w:kern w:val="0"/>
                      <w:sz w:val="21"/>
                      <w:szCs w:val="21"/>
                      <w:highlight w:val="none"/>
                    </w:rPr>
                    <w:t>cm；</w:t>
                  </w:r>
                  <w:r>
                    <w:rPr>
                      <w:rFonts w:hint="eastAsia" w:ascii="宋体" w:hAnsi="宋体" w:eastAsia="宋体" w:cs="宋体"/>
                      <w:i/>
                      <w:iCs/>
                      <w:color w:val="auto"/>
                      <w:kern w:val="0"/>
                      <w:sz w:val="21"/>
                      <w:szCs w:val="21"/>
                      <w:highlight w:val="none"/>
                    </w:rPr>
                    <w:t>TVL</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31</w:t>
                  </w:r>
                  <w:r>
                    <w:rPr>
                      <w:rFonts w:hint="eastAsia" w:ascii="宋体" w:hAnsi="宋体" w:eastAsia="宋体" w:cs="宋体"/>
                      <w:color w:val="auto"/>
                      <w:kern w:val="0"/>
                      <w:sz w:val="21"/>
                      <w:szCs w:val="21"/>
                      <w:highlight w:val="none"/>
                    </w:rPr>
                    <w:t>cm；</w:t>
                  </w:r>
                  <w:r>
                    <w:rPr>
                      <w:rFonts w:hint="eastAsia" w:ascii="宋体" w:hAnsi="宋体" w:eastAsia="宋体" w:cs="宋体"/>
                      <w:i/>
                      <w:iCs/>
                      <w:color w:val="auto"/>
                      <w:kern w:val="0"/>
                      <w:sz w:val="21"/>
                      <w:szCs w:val="21"/>
                      <w:highlight w:val="none"/>
                    </w:rPr>
                    <w:t>X</w:t>
                  </w:r>
                  <w:r>
                    <w:rPr>
                      <w:rFonts w:hint="eastAsia" w:ascii="宋体" w:hAnsi="宋体" w:eastAsia="宋体" w:cs="宋体"/>
                      <w:color w:val="auto"/>
                      <w:kern w:val="0"/>
                      <w:sz w:val="21"/>
                      <w:szCs w:val="21"/>
                      <w:highlight w:val="none"/>
                    </w:rPr>
                    <w:t>=</w:t>
                  </w:r>
                  <w:r>
                    <w:rPr>
                      <w:rFonts w:hint="eastAsia" w:ascii="宋体" w:hAnsi="宋体" w:eastAsia="宋体" w:cs="宋体"/>
                      <w:i/>
                      <w:iCs/>
                      <w:color w:val="auto"/>
                      <w:kern w:val="0"/>
                      <w:sz w:val="21"/>
                      <w:szCs w:val="21"/>
                      <w:highlight w:val="none"/>
                    </w:rPr>
                    <w:t>Xe/cos</w:t>
                  </w:r>
                  <w:r>
                    <w:rPr>
                      <w:rFonts w:hint="eastAsia" w:ascii="宋体" w:hAnsi="宋体" w:eastAsia="宋体" w:cs="宋体"/>
                      <w:color w:val="auto"/>
                      <w:kern w:val="0"/>
                      <w:sz w:val="21"/>
                      <w:szCs w:val="21"/>
                      <w:highlight w:val="none"/>
                    </w:rPr>
                    <w:t>30=</w:t>
                  </w:r>
                  <w:r>
                    <w:rPr>
                      <w:rFonts w:hint="eastAsia" w:ascii="宋体" w:hAnsi="宋体" w:eastAsia="宋体" w:cs="宋体"/>
                      <w:color w:val="auto"/>
                      <w:kern w:val="0"/>
                      <w:sz w:val="21"/>
                      <w:szCs w:val="21"/>
                      <w:highlight w:val="none"/>
                      <w:lang w:val="en-US" w:eastAsia="zh-CN"/>
                    </w:rPr>
                    <w:t>138.57</w:t>
                  </w:r>
                  <w:r>
                    <w:rPr>
                      <w:rFonts w:hint="eastAsia" w:ascii="宋体" w:hAnsi="宋体" w:eastAsia="宋体" w:cs="宋体"/>
                      <w:color w:val="auto"/>
                      <w:kern w:val="0"/>
                      <w:sz w:val="21"/>
                      <w:szCs w:val="21"/>
                      <w:highlight w:val="none"/>
                    </w:rPr>
                    <w:t>cm；</w:t>
                  </w:r>
                  <w:r>
                    <w:rPr>
                      <w:rFonts w:hint="eastAsia" w:ascii="宋体" w:hAnsi="宋体" w:eastAsia="宋体" w:cs="宋体"/>
                      <w:color w:val="auto"/>
                      <w:kern w:val="0"/>
                      <w:position w:val="-6"/>
                      <w:sz w:val="21"/>
                      <w:szCs w:val="21"/>
                      <w:highlight w:val="none"/>
                    </w:rPr>
                    <w:object>
                      <v:shape id="_x0000_i1060" o:spt="75" type="#_x0000_t75" style="height:12pt;width:94.15pt;" o:ole="t" filled="f" o:preferrelative="t" stroked="f" coordsize="21600,21600">
                        <v:path/>
                        <v:fill on="f" focussize="0,0"/>
                        <v:stroke on="f" joinstyle="miter"/>
                        <v:imagedata r:id="rId28" o:title=""/>
                        <o:lock v:ext="edit" aspectratio="t"/>
                        <w10:wrap type="none"/>
                        <w10:anchorlock/>
                      </v:shape>
                      <o:OLEObject Type="Embed" ProgID="Equations" ShapeID="_x0000_i1060" DrawAspect="Content" ObjectID="_1468075760" r:id="rId74">
                        <o:LockedField>false</o:LockedField>
                      </o:OLEObject>
                    </w:object>
                  </w:r>
                  <w:r>
                    <w:rPr>
                      <w:rFonts w:hint="eastAsia" w:ascii="宋体" w:hAnsi="宋体" w:eastAsia="宋体" w:cs="宋体"/>
                      <w:color w:val="auto"/>
                      <w:kern w:val="0"/>
                      <w:position w:val="-6"/>
                      <w:sz w:val="21"/>
                      <w:szCs w:val="21"/>
                      <w:highlight w:val="none"/>
                    </w:rPr>
                    <w:t>=</w:t>
                  </w:r>
                  <w:r>
                    <w:rPr>
                      <w:rFonts w:hint="eastAsia" w:ascii="宋体" w:hAnsi="宋体" w:eastAsia="宋体" w:cs="宋体"/>
                      <w:color w:val="auto"/>
                      <w:kern w:val="0"/>
                      <w:position w:val="-6"/>
                      <w:sz w:val="21"/>
                      <w:szCs w:val="21"/>
                      <w:highlight w:val="none"/>
                      <w:lang w:val="en-US" w:eastAsia="zh-CN"/>
                    </w:rPr>
                    <w:t>1.56</w:t>
                  </w:r>
                  <w:r>
                    <w:rPr>
                      <w:rFonts w:hint="eastAsia" w:ascii="宋体" w:hAnsi="宋体" w:eastAsia="宋体" w:cs="宋体"/>
                      <w:color w:val="auto"/>
                      <w:kern w:val="0"/>
                      <w:position w:val="-6"/>
                      <w:sz w:val="21"/>
                      <w:szCs w:val="21"/>
                      <w:highlight w:val="none"/>
                    </w:rPr>
                    <w:t>×10</w:t>
                  </w:r>
                  <w:r>
                    <w:rPr>
                      <w:rFonts w:hint="eastAsia" w:ascii="宋体" w:hAnsi="宋体" w:eastAsia="宋体" w:cs="宋体"/>
                      <w:color w:val="auto"/>
                      <w:kern w:val="0"/>
                      <w:position w:val="-6"/>
                      <w:sz w:val="21"/>
                      <w:szCs w:val="21"/>
                      <w:highlight w:val="none"/>
                      <w:vertAlign w:val="superscript"/>
                    </w:rPr>
                    <w:t>-5</w:t>
                  </w:r>
                </w:p>
              </w:tc>
              <w:tc>
                <w:tcPr>
                  <w:tcW w:w="1959" w:type="dxa"/>
                  <w:gridSpan w:val="2"/>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0.159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87" w:type="dxa"/>
                  <w:vMerge w:val="continue"/>
                  <w:tcBorders>
                    <w:tl2br w:val="nil"/>
                    <w:tr2bl w:val="nil"/>
                  </w:tcBorders>
                  <w:vAlign w:val="center"/>
                </w:tcPr>
                <w:p>
                  <w:pPr>
                    <w:spacing w:line="240" w:lineRule="auto"/>
                    <w:jc w:val="center"/>
                    <w:rPr>
                      <w:rFonts w:hint="eastAsia" w:ascii="宋体" w:hAnsi="宋体" w:eastAsia="宋体" w:cs="宋体"/>
                      <w:color w:val="0000FF"/>
                      <w:kern w:val="0"/>
                      <w:sz w:val="21"/>
                      <w:szCs w:val="21"/>
                      <w:highlight w:val="none"/>
                    </w:rPr>
                  </w:pPr>
                </w:p>
              </w:tc>
              <w:tc>
                <w:tcPr>
                  <w:tcW w:w="1286" w:type="dxa"/>
                  <w:vMerge w:val="continue"/>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rPr>
                  </w:pPr>
                </w:p>
              </w:tc>
              <w:tc>
                <w:tcPr>
                  <w:tcW w:w="1408" w:type="dxa"/>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rPr>
                    <w:t>主束经患者和屏蔽墙的2次散射值</w:t>
                  </w:r>
                </w:p>
              </w:tc>
              <w:tc>
                <w:tcPr>
                  <w:tcW w:w="3482" w:type="dxa"/>
                  <w:tcBorders>
                    <w:tl2br w:val="nil"/>
                    <w:tr2bl w:val="nil"/>
                  </w:tcBorders>
                  <w:vAlign w:val="center"/>
                </w:tcPr>
                <w:p>
                  <w:pPr>
                    <w:spacing w:line="240" w:lineRule="auto"/>
                    <w:jc w:val="center"/>
                    <w:rPr>
                      <w:rFonts w:hint="eastAsia" w:ascii="宋体" w:hAnsi="宋体" w:eastAsia="宋体" w:cs="宋体"/>
                      <w:color w:val="auto"/>
                      <w:kern w:val="0"/>
                      <w:position w:val="-6"/>
                      <w:sz w:val="21"/>
                      <w:szCs w:val="21"/>
                      <w:highlight w:val="none"/>
                      <w:lang w:val="en-US" w:eastAsia="zh-CN"/>
                    </w:rPr>
                  </w:pPr>
                  <w:r>
                    <w:rPr>
                      <w:rFonts w:hint="eastAsia" w:ascii="宋体" w:hAnsi="宋体" w:eastAsia="宋体" w:cs="宋体"/>
                      <w:color w:val="auto"/>
                      <w:kern w:val="0"/>
                      <w:position w:val="-6"/>
                      <w:sz w:val="21"/>
                      <w:szCs w:val="21"/>
                      <w:highlight w:val="none"/>
                    </w:rPr>
                    <w:object>
                      <v:shape id="_x0000_i1061" o:spt="75" type="#_x0000_t75" style="height:17.25pt;width:13.9pt;" o:ole="t" filled="f" o:preferrelative="t" stroked="f" coordsize="21600,21600">
                        <v:path/>
                        <v:fill on="f" focussize="0,0"/>
                        <v:stroke on="f" joinstyle="miter"/>
                        <v:imagedata r:id="rId56" o:title=""/>
                        <o:lock v:ext="edit" aspectratio="t"/>
                        <w10:wrap type="none"/>
                        <w10:anchorlock/>
                      </v:shape>
                      <o:OLEObject Type="Embed" ProgID="Equation.KSEE3" ShapeID="_x0000_i1061" DrawAspect="Content" ObjectID="_1468075761" r:id="rId75">
                        <o:LockedField>false</o:LockedField>
                      </o:OLEObject>
                    </w:objec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3.6</w:t>
                  </w:r>
                  <w:r>
                    <w:rPr>
                      <w:rFonts w:hint="eastAsia" w:ascii="宋体" w:hAnsi="宋体" w:eastAsia="宋体" w:cs="宋体"/>
                      <w:color w:val="auto"/>
                      <w:kern w:val="0"/>
                      <w:sz w:val="21"/>
                      <w:szCs w:val="21"/>
                      <w:highlight w:val="none"/>
                    </w:rPr>
                    <w:t>×10</w:t>
                  </w:r>
                  <w:r>
                    <w:rPr>
                      <w:rFonts w:hint="eastAsia" w:ascii="宋体" w:hAnsi="宋体" w:eastAsia="宋体" w:cs="宋体"/>
                      <w:color w:val="auto"/>
                      <w:kern w:val="0"/>
                      <w:sz w:val="21"/>
                      <w:szCs w:val="21"/>
                      <w:highlight w:val="none"/>
                      <w:vertAlign w:val="superscript"/>
                    </w:rPr>
                    <w:t>8</w:t>
                  </w:r>
                  <w:r>
                    <w:rPr>
                      <w:rFonts w:hint="eastAsia" w:ascii="宋体" w:hAnsi="宋体" w:eastAsia="宋体" w:cs="宋体"/>
                      <w:color w:val="auto"/>
                      <w:kern w:val="0"/>
                      <w:sz w:val="21"/>
                      <w:szCs w:val="21"/>
                      <w:highlight w:val="none"/>
                    </w:rPr>
                    <w:t>μSv·m</w:t>
                  </w:r>
                  <w:r>
                    <w:rPr>
                      <w:rFonts w:hint="eastAsia" w:ascii="宋体" w:hAnsi="宋体" w:eastAsia="宋体" w:cs="宋体"/>
                      <w:color w:val="auto"/>
                      <w:kern w:val="0"/>
                      <w:sz w:val="21"/>
                      <w:szCs w:val="21"/>
                      <w:highlight w:val="none"/>
                      <w:vertAlign w:val="superscript"/>
                    </w:rPr>
                    <w:t>2</w:t>
                  </w:r>
                  <w:r>
                    <w:rPr>
                      <w:rFonts w:hint="eastAsia" w:ascii="宋体" w:hAnsi="宋体" w:eastAsia="宋体" w:cs="宋体"/>
                      <w:color w:val="auto"/>
                      <w:kern w:val="0"/>
                      <w:sz w:val="21"/>
                      <w:szCs w:val="21"/>
                      <w:highlight w:val="none"/>
                    </w:rPr>
                    <w:t>·h</w:t>
                  </w:r>
                  <w:r>
                    <w:rPr>
                      <w:rFonts w:hint="eastAsia" w:ascii="宋体" w:hAnsi="宋体" w:eastAsia="宋体" w:cs="宋体"/>
                      <w:color w:val="auto"/>
                      <w:kern w:val="0"/>
                      <w:sz w:val="21"/>
                      <w:szCs w:val="21"/>
                      <w:highlight w:val="none"/>
                      <w:vertAlign w:val="superscript"/>
                    </w:rPr>
                    <w:t>-1</w:t>
                  </w:r>
                  <w:r>
                    <w:rPr>
                      <w:rFonts w:hint="eastAsia" w:ascii="宋体" w:hAnsi="宋体" w:eastAsia="宋体" w:cs="宋体"/>
                      <w:color w:val="auto"/>
                      <w:kern w:val="0"/>
                      <w:sz w:val="21"/>
                      <w:szCs w:val="21"/>
                      <w:highlight w:val="none"/>
                    </w:rPr>
                    <w:t>；</w:t>
                  </w:r>
                  <w:r>
                    <w:rPr>
                      <w:rFonts w:hint="eastAsia" w:ascii="宋体" w:hAnsi="宋体" w:eastAsia="宋体" w:cs="宋体"/>
                      <w:i/>
                      <w:iCs/>
                      <w:color w:val="auto"/>
                      <w:kern w:val="0"/>
                      <w:sz w:val="21"/>
                      <w:szCs w:val="21"/>
                      <w:highlight w:val="none"/>
                    </w:rPr>
                    <w:t>α</w:t>
                  </w:r>
                  <w:r>
                    <w:rPr>
                      <w:rFonts w:hint="eastAsia" w:ascii="宋体" w:hAnsi="宋体" w:eastAsia="宋体" w:cs="宋体"/>
                      <w:color w:val="auto"/>
                      <w:kern w:val="0"/>
                      <w:sz w:val="21"/>
                      <w:szCs w:val="21"/>
                      <w:highlight w:val="none"/>
                      <w:vertAlign w:val="subscript"/>
                    </w:rPr>
                    <w:t>ph</w:t>
                  </w:r>
                  <w:r>
                    <w:rPr>
                      <w:rFonts w:hint="eastAsia" w:ascii="宋体" w:hAnsi="宋体" w:eastAsia="宋体" w:cs="宋体"/>
                      <w:color w:val="auto"/>
                      <w:kern w:val="0"/>
                      <w:sz w:val="21"/>
                      <w:szCs w:val="21"/>
                      <w:highlight w:val="none"/>
                    </w:rPr>
                    <w:t>=1.39×10</w:t>
                  </w:r>
                  <w:r>
                    <w:rPr>
                      <w:rFonts w:hint="eastAsia" w:ascii="宋体" w:hAnsi="宋体" w:eastAsia="宋体" w:cs="宋体"/>
                      <w:color w:val="auto"/>
                      <w:kern w:val="0"/>
                      <w:sz w:val="21"/>
                      <w:szCs w:val="21"/>
                      <w:highlight w:val="none"/>
                      <w:vertAlign w:val="superscript"/>
                    </w:rPr>
                    <w:t>-3</w:t>
                  </w:r>
                  <w:r>
                    <w:rPr>
                      <w:rFonts w:hint="eastAsia" w:ascii="宋体" w:hAnsi="宋体" w:eastAsia="宋体" w:cs="宋体"/>
                      <w:color w:val="auto"/>
                      <w:kern w:val="0"/>
                      <w:sz w:val="21"/>
                      <w:szCs w:val="21"/>
                      <w:highlight w:val="none"/>
                    </w:rPr>
                    <w:t>；</w:t>
                  </w:r>
                  <w:r>
                    <w:rPr>
                      <w:rFonts w:hint="eastAsia" w:ascii="宋体" w:hAnsi="宋体" w:eastAsia="宋体" w:cs="宋体"/>
                      <w:i/>
                      <w:iCs/>
                      <w:color w:val="auto"/>
                      <w:kern w:val="0"/>
                      <w:sz w:val="21"/>
                      <w:szCs w:val="21"/>
                      <w:highlight w:val="none"/>
                    </w:rPr>
                    <w:t>α</w:t>
                  </w:r>
                  <w:r>
                    <w:rPr>
                      <w:rFonts w:hint="eastAsia" w:ascii="宋体" w:hAnsi="宋体" w:eastAsia="宋体" w:cs="宋体"/>
                      <w:color w:val="auto"/>
                      <w:kern w:val="0"/>
                      <w:sz w:val="21"/>
                      <w:szCs w:val="21"/>
                      <w:highlight w:val="none"/>
                      <w:vertAlign w:val="subscript"/>
                    </w:rPr>
                    <w:t>2</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22</w:t>
                  </w:r>
                  <w:r>
                    <w:rPr>
                      <w:rFonts w:hint="eastAsia" w:ascii="宋体" w:hAnsi="宋体" w:eastAsia="宋体" w:cs="宋体"/>
                      <w:color w:val="auto"/>
                      <w:kern w:val="0"/>
                      <w:sz w:val="21"/>
                      <w:szCs w:val="21"/>
                      <w:highlight w:val="none"/>
                    </w:rPr>
                    <w:t>×10</w:t>
                  </w:r>
                  <w:r>
                    <w:rPr>
                      <w:rFonts w:hint="eastAsia" w:ascii="宋体" w:hAnsi="宋体" w:eastAsia="宋体" w:cs="宋体"/>
                      <w:color w:val="auto"/>
                      <w:kern w:val="0"/>
                      <w:sz w:val="21"/>
                      <w:szCs w:val="21"/>
                      <w:highlight w:val="none"/>
                      <w:vertAlign w:val="superscript"/>
                    </w:rPr>
                    <w:t>-3</w:t>
                  </w:r>
                  <w:r>
                    <w:rPr>
                      <w:rFonts w:hint="eastAsia" w:ascii="宋体" w:hAnsi="宋体" w:eastAsia="宋体" w:cs="宋体"/>
                      <w:color w:val="auto"/>
                      <w:kern w:val="0"/>
                      <w:sz w:val="21"/>
                      <w:szCs w:val="21"/>
                      <w:highlight w:val="none"/>
                    </w:rPr>
                    <w:t>；</w:t>
                  </w:r>
                  <w:r>
                    <w:rPr>
                      <w:rFonts w:hint="eastAsia" w:ascii="宋体" w:hAnsi="宋体" w:eastAsia="宋体" w:cs="宋体"/>
                      <w:i/>
                      <w:iCs/>
                      <w:color w:val="auto"/>
                      <w:kern w:val="0"/>
                      <w:sz w:val="21"/>
                      <w:szCs w:val="21"/>
                      <w:highlight w:val="none"/>
                    </w:rPr>
                    <w:t>R</w:t>
                  </w:r>
                  <w:r>
                    <w:rPr>
                      <w:rFonts w:hint="eastAsia" w:ascii="宋体" w:hAnsi="宋体" w:eastAsia="宋体" w:cs="宋体"/>
                      <w:color w:val="auto"/>
                      <w:kern w:val="0"/>
                      <w:sz w:val="21"/>
                      <w:szCs w:val="21"/>
                      <w:highlight w:val="none"/>
                      <w:vertAlign w:val="subscript"/>
                    </w:rPr>
                    <w:t>1</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8.71</w:t>
                  </w:r>
                  <w:r>
                    <w:rPr>
                      <w:rFonts w:hint="eastAsia" w:ascii="宋体" w:hAnsi="宋体" w:eastAsia="宋体" w:cs="宋体"/>
                      <w:color w:val="auto"/>
                      <w:kern w:val="0"/>
                      <w:sz w:val="21"/>
                      <w:szCs w:val="21"/>
                      <w:highlight w:val="none"/>
                    </w:rPr>
                    <w:t>m；</w:t>
                  </w:r>
                  <w:r>
                    <w:rPr>
                      <w:rFonts w:hint="eastAsia" w:ascii="宋体" w:hAnsi="宋体" w:eastAsia="宋体" w:cs="宋体"/>
                      <w:i/>
                      <w:iCs/>
                      <w:color w:val="auto"/>
                      <w:kern w:val="0"/>
                      <w:sz w:val="21"/>
                      <w:szCs w:val="21"/>
                      <w:highlight w:val="none"/>
                    </w:rPr>
                    <w:t>R</w:t>
                  </w:r>
                  <w:r>
                    <w:rPr>
                      <w:rFonts w:hint="eastAsia" w:ascii="宋体" w:hAnsi="宋体" w:eastAsia="宋体" w:cs="宋体"/>
                      <w:color w:val="auto"/>
                      <w:kern w:val="0"/>
                      <w:sz w:val="21"/>
                      <w:szCs w:val="21"/>
                      <w:highlight w:val="none"/>
                      <w:vertAlign w:val="subscript"/>
                    </w:rPr>
                    <w:t>2</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11.2</w:t>
                  </w:r>
                  <w:r>
                    <w:rPr>
                      <w:rFonts w:hint="eastAsia" w:ascii="宋体" w:hAnsi="宋体" w:eastAsia="宋体" w:cs="宋体"/>
                      <w:color w:val="auto"/>
                      <w:kern w:val="0"/>
                      <w:sz w:val="21"/>
                      <w:szCs w:val="21"/>
                      <w:highlight w:val="none"/>
                    </w:rPr>
                    <w:t>m；</w:t>
                  </w:r>
                  <w:r>
                    <w:rPr>
                      <w:rFonts w:hint="eastAsia" w:ascii="宋体" w:hAnsi="宋体" w:eastAsia="宋体" w:cs="宋体"/>
                      <w:i/>
                      <w:iCs/>
                      <w:color w:val="auto"/>
                      <w:kern w:val="0"/>
                      <w:sz w:val="21"/>
                      <w:szCs w:val="21"/>
                      <w:highlight w:val="none"/>
                    </w:rPr>
                    <w:t>F</w:t>
                  </w:r>
                  <w:r>
                    <w:rPr>
                      <w:rFonts w:hint="eastAsia" w:ascii="宋体" w:hAnsi="宋体" w:eastAsia="宋体" w:cs="宋体"/>
                      <w:color w:val="auto"/>
                      <w:kern w:val="0"/>
                      <w:sz w:val="21"/>
                      <w:szCs w:val="21"/>
                      <w:highlight w:val="none"/>
                    </w:rPr>
                    <w:t>=40×40=1600cm</w:t>
                  </w:r>
                  <w:r>
                    <w:rPr>
                      <w:rFonts w:hint="eastAsia" w:ascii="宋体" w:hAnsi="宋体" w:eastAsia="宋体" w:cs="宋体"/>
                      <w:color w:val="auto"/>
                      <w:kern w:val="0"/>
                      <w:sz w:val="21"/>
                      <w:szCs w:val="21"/>
                      <w:highlight w:val="none"/>
                      <w:vertAlign w:val="superscript"/>
                    </w:rPr>
                    <w:t>2</w:t>
                  </w:r>
                  <w:r>
                    <w:rPr>
                      <w:rFonts w:hint="eastAsia" w:ascii="宋体" w:hAnsi="宋体" w:eastAsia="宋体" w:cs="宋体"/>
                      <w:color w:val="auto"/>
                      <w:kern w:val="0"/>
                      <w:sz w:val="21"/>
                      <w:szCs w:val="21"/>
                      <w:highlight w:val="none"/>
                    </w:rPr>
                    <w:t>；A按偏安全考虑，近似取A=</w:t>
                  </w:r>
                  <w:r>
                    <w:rPr>
                      <w:rFonts w:hint="eastAsia" w:ascii="宋体" w:hAnsi="宋体" w:eastAsia="宋体" w:cs="宋体"/>
                      <w:color w:val="auto"/>
                      <w:kern w:val="0"/>
                      <w:sz w:val="21"/>
                      <w:szCs w:val="21"/>
                      <w:highlight w:val="none"/>
                      <w:lang w:val="en-US" w:eastAsia="zh-CN"/>
                    </w:rPr>
                    <w:t>2.41</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3.7</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8.91</w:t>
                  </w:r>
                  <w:r>
                    <w:rPr>
                      <w:rFonts w:hint="eastAsia" w:ascii="宋体" w:hAnsi="宋体" w:eastAsia="宋体" w:cs="宋体"/>
                      <w:color w:val="auto"/>
                      <w:kern w:val="0"/>
                      <w:sz w:val="21"/>
                      <w:szCs w:val="21"/>
                      <w:highlight w:val="none"/>
                    </w:rPr>
                    <w:t>m</w:t>
                  </w:r>
                  <w:r>
                    <w:rPr>
                      <w:rFonts w:hint="eastAsia" w:ascii="宋体" w:hAnsi="宋体" w:eastAsia="宋体" w:cs="宋体"/>
                      <w:color w:val="auto"/>
                      <w:kern w:val="0"/>
                      <w:sz w:val="21"/>
                      <w:szCs w:val="21"/>
                      <w:highlight w:val="none"/>
                      <w:vertAlign w:val="superscript"/>
                    </w:rPr>
                    <w:t>2</w:t>
                  </w:r>
                </w:p>
              </w:tc>
              <w:tc>
                <w:tcPr>
                  <w:tcW w:w="1959" w:type="dxa"/>
                  <w:gridSpan w:val="2"/>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9.28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87" w:type="dxa"/>
                  <w:vMerge w:val="continue"/>
                  <w:tcBorders>
                    <w:tl2br w:val="nil"/>
                    <w:tr2bl w:val="nil"/>
                  </w:tcBorders>
                  <w:vAlign w:val="center"/>
                </w:tcPr>
                <w:p>
                  <w:pPr>
                    <w:spacing w:line="240" w:lineRule="auto"/>
                    <w:jc w:val="center"/>
                    <w:rPr>
                      <w:rFonts w:hint="eastAsia" w:ascii="宋体" w:hAnsi="宋体" w:eastAsia="宋体" w:cs="宋体"/>
                      <w:color w:val="0000FF"/>
                      <w:kern w:val="0"/>
                      <w:sz w:val="21"/>
                      <w:szCs w:val="21"/>
                      <w:highlight w:val="none"/>
                    </w:rPr>
                  </w:pPr>
                </w:p>
              </w:tc>
              <w:tc>
                <w:tcPr>
                  <w:tcW w:w="1286" w:type="dxa"/>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lang w:val="en-US" w:eastAsia="zh-CN"/>
                    </w:rPr>
                    <w:t>7</w:t>
                  </w:r>
                  <w:r>
                    <w:rPr>
                      <w:rFonts w:hint="eastAsia" w:ascii="宋体" w:hAnsi="宋体" w:eastAsia="宋体" w:cs="宋体"/>
                      <w:color w:val="auto"/>
                      <w:kern w:val="0"/>
                      <w:sz w:val="21"/>
                      <w:szCs w:val="21"/>
                      <w:highlight w:val="none"/>
                    </w:rPr>
                    <w:t>#（屏蔽门外）</w:t>
                  </w:r>
                </w:p>
              </w:tc>
              <w:tc>
                <w:tcPr>
                  <w:tcW w:w="1408" w:type="dxa"/>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w:t>
                  </w:r>
                </w:p>
              </w:tc>
              <w:tc>
                <w:tcPr>
                  <w:tcW w:w="3482" w:type="dxa"/>
                  <w:tcBorders>
                    <w:tl2br w:val="nil"/>
                    <w:tr2bl w:val="nil"/>
                  </w:tcBorders>
                  <w:vAlign w:val="center"/>
                </w:tcPr>
                <w:p>
                  <w:pPr>
                    <w:spacing w:line="240" w:lineRule="auto"/>
                    <w:jc w:val="center"/>
                    <w:rPr>
                      <w:rFonts w:hint="eastAsia" w:ascii="宋体" w:hAnsi="宋体" w:eastAsia="宋体" w:cs="宋体"/>
                      <w:color w:val="auto"/>
                      <w:kern w:val="0"/>
                      <w:position w:val="-6"/>
                      <w:sz w:val="21"/>
                      <w:szCs w:val="21"/>
                      <w:highlight w:val="none"/>
                    </w:rPr>
                  </w:pPr>
                  <w:r>
                    <w:rPr>
                      <w:rFonts w:hint="eastAsia" w:ascii="宋体" w:hAnsi="宋体" w:eastAsia="宋体" w:cs="宋体"/>
                      <w:color w:val="auto"/>
                      <w:kern w:val="0"/>
                      <w:position w:val="-10"/>
                      <w:sz w:val="21"/>
                      <w:szCs w:val="21"/>
                      <w:highlight w:val="none"/>
                    </w:rPr>
                    <w:object>
                      <v:shape id="_x0000_i1062" o:spt="75" type="#_x0000_t75" style="height:17.25pt;width:13.9pt;" o:ole="t" filled="f" o:preferrelative="t" stroked="f" coordsize="21600,21600">
                        <v:path/>
                        <v:fill on="f" focussize="0,0"/>
                        <v:stroke on="f" joinstyle="miter"/>
                        <v:imagedata r:id="rId77" o:title=""/>
                        <o:lock v:ext="edit" aspectratio="t"/>
                        <w10:wrap type="none"/>
                        <w10:anchorlock/>
                      </v:shape>
                      <o:OLEObject Type="Embed" ProgID="Equation.KSEE3" ShapeID="_x0000_i1062" DrawAspect="Content" ObjectID="_1468075762" r:id="rId76">
                        <o:LockedField>false</o:LockedField>
                      </o:OLEObject>
                    </w:object>
                  </w:r>
                  <w:r>
                    <w:rPr>
                      <w:rFonts w:hint="eastAsia" w:ascii="宋体" w:hAnsi="宋体" w:eastAsia="宋体" w:cs="宋体"/>
                      <w:color w:val="auto"/>
                      <w:kern w:val="0"/>
                      <w:position w:val="-6"/>
                      <w:sz w:val="21"/>
                      <w:szCs w:val="21"/>
                      <w:highlight w:val="none"/>
                    </w:rPr>
                    <w:t>=</w:t>
                  </w:r>
                  <w:r>
                    <w:rPr>
                      <w:rFonts w:hint="eastAsia" w:ascii="宋体" w:hAnsi="宋体" w:eastAsia="宋体" w:cs="宋体"/>
                      <w:color w:val="auto"/>
                      <w:kern w:val="0"/>
                      <w:position w:val="-6"/>
                      <w:sz w:val="21"/>
                      <w:szCs w:val="21"/>
                      <w:highlight w:val="none"/>
                      <w:lang w:val="en-US" w:eastAsia="zh-CN"/>
                    </w:rPr>
                    <w:t>9.28</w:t>
                  </w:r>
                  <w:r>
                    <w:rPr>
                      <w:rFonts w:hint="eastAsia" w:ascii="宋体" w:hAnsi="宋体" w:eastAsia="宋体" w:cs="宋体"/>
                      <w:color w:val="auto"/>
                      <w:kern w:val="0"/>
                      <w:position w:val="-6"/>
                      <w:sz w:val="21"/>
                      <w:szCs w:val="21"/>
                      <w:highlight w:val="none"/>
                    </w:rPr>
                    <w:t>μSv</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position w:val="-6"/>
                      <w:sz w:val="21"/>
                      <w:szCs w:val="21"/>
                      <w:highlight w:val="none"/>
                    </w:rPr>
                    <w:t>h</w:t>
                  </w:r>
                  <w:r>
                    <w:rPr>
                      <w:rFonts w:hint="eastAsia" w:ascii="宋体" w:hAnsi="宋体" w:eastAsia="宋体" w:cs="宋体"/>
                      <w:color w:val="auto"/>
                      <w:kern w:val="0"/>
                      <w:position w:val="-6"/>
                      <w:sz w:val="21"/>
                      <w:szCs w:val="21"/>
                      <w:highlight w:val="none"/>
                      <w:vertAlign w:val="superscript"/>
                    </w:rPr>
                    <w:t>-1</w:t>
                  </w:r>
                  <w:r>
                    <w:rPr>
                      <w:rFonts w:hint="eastAsia" w:ascii="宋体" w:hAnsi="宋体" w:eastAsia="宋体" w:cs="宋体"/>
                      <w:color w:val="auto"/>
                      <w:kern w:val="0"/>
                      <w:position w:val="-6"/>
                      <w:sz w:val="21"/>
                      <w:szCs w:val="21"/>
                      <w:highlight w:val="none"/>
                    </w:rPr>
                    <w:t>；</w:t>
                  </w:r>
                  <w:r>
                    <w:rPr>
                      <w:rFonts w:hint="eastAsia" w:ascii="宋体" w:hAnsi="宋体" w:eastAsia="宋体" w:cs="宋体"/>
                      <w:i/>
                      <w:iCs/>
                      <w:color w:val="auto"/>
                      <w:kern w:val="0"/>
                      <w:position w:val="-6"/>
                      <w:sz w:val="21"/>
                      <w:szCs w:val="21"/>
                      <w:highlight w:val="none"/>
                    </w:rPr>
                    <w:t>X</w:t>
                  </w:r>
                  <w:r>
                    <w:rPr>
                      <w:rFonts w:hint="eastAsia" w:ascii="宋体" w:hAnsi="宋体" w:eastAsia="宋体" w:cs="宋体"/>
                      <w:color w:val="auto"/>
                      <w:kern w:val="0"/>
                      <w:position w:val="-6"/>
                      <w:sz w:val="21"/>
                      <w:szCs w:val="21"/>
                      <w:highlight w:val="none"/>
                    </w:rPr>
                    <w:t>=</w:t>
                  </w:r>
                  <w:r>
                    <w:rPr>
                      <w:rFonts w:hint="eastAsia" w:ascii="宋体" w:hAnsi="宋体" w:eastAsia="宋体" w:cs="宋体"/>
                      <w:color w:val="auto"/>
                      <w:kern w:val="0"/>
                      <w:position w:val="-6"/>
                      <w:sz w:val="21"/>
                      <w:szCs w:val="21"/>
                      <w:highlight w:val="none"/>
                      <w:lang w:val="en-US" w:eastAsia="zh-CN"/>
                    </w:rPr>
                    <w:t>2</w:t>
                  </w:r>
                  <w:r>
                    <w:rPr>
                      <w:rFonts w:hint="eastAsia" w:ascii="宋体" w:hAnsi="宋体" w:eastAsia="宋体" w:cs="宋体"/>
                      <w:color w:val="auto"/>
                      <w:kern w:val="0"/>
                      <w:position w:val="-6"/>
                      <w:sz w:val="21"/>
                      <w:szCs w:val="21"/>
                      <w:highlight w:val="none"/>
                    </w:rPr>
                    <w:t>cm；</w:t>
                  </w:r>
                  <w:r>
                    <w:rPr>
                      <w:rFonts w:hint="eastAsia" w:ascii="宋体" w:hAnsi="宋体" w:eastAsia="宋体" w:cs="宋体"/>
                      <w:i/>
                      <w:iCs/>
                      <w:color w:val="auto"/>
                      <w:kern w:val="0"/>
                      <w:position w:val="-6"/>
                      <w:sz w:val="21"/>
                      <w:szCs w:val="21"/>
                      <w:highlight w:val="none"/>
                    </w:rPr>
                    <w:t>TVL</w:t>
                  </w:r>
                  <w:r>
                    <w:rPr>
                      <w:rFonts w:hint="eastAsia" w:ascii="宋体" w:hAnsi="宋体" w:eastAsia="宋体" w:cs="宋体"/>
                      <w:color w:val="auto"/>
                      <w:kern w:val="0"/>
                      <w:position w:val="-6"/>
                      <w:sz w:val="21"/>
                      <w:szCs w:val="21"/>
                      <w:highlight w:val="none"/>
                    </w:rPr>
                    <w:t>=0.5cm；</w:t>
                  </w:r>
                  <w:r>
                    <w:rPr>
                      <w:rFonts w:hint="eastAsia" w:ascii="宋体" w:hAnsi="宋体" w:eastAsia="宋体" w:cs="宋体"/>
                      <w:color w:val="auto"/>
                      <w:kern w:val="0"/>
                      <w:position w:val="-10"/>
                      <w:sz w:val="21"/>
                      <w:szCs w:val="21"/>
                      <w:highlight w:val="none"/>
                    </w:rPr>
                    <w:object>
                      <v:shape id="_x0000_i1063" o:spt="75" type="#_x0000_t75" style="height:17.25pt;width:16.15pt;" o:ole="t" filled="f" o:preferrelative="t" stroked="f" coordsize="21600,21600">
                        <v:path/>
                        <v:fill on="f" focussize="0,0"/>
                        <v:stroke on="f" joinstyle="miter"/>
                        <v:imagedata r:id="rId79" o:title=""/>
                        <o:lock v:ext="edit" aspectratio="t"/>
                        <w10:wrap type="none"/>
                        <w10:anchorlock/>
                      </v:shape>
                      <o:OLEObject Type="Embed" ProgID="Equation.KSEE3" ShapeID="_x0000_i1063" DrawAspect="Content" ObjectID="_1468075763" r:id="rId78">
                        <o:LockedField>false</o:LockedField>
                      </o:OLEObject>
                    </w:object>
                  </w:r>
                  <w:r>
                    <w:rPr>
                      <w:rFonts w:hint="eastAsia" w:ascii="宋体" w:hAnsi="宋体" w:eastAsia="宋体" w:cs="宋体"/>
                      <w:color w:val="auto"/>
                      <w:kern w:val="0"/>
                      <w:position w:val="-6"/>
                      <w:sz w:val="21"/>
                      <w:szCs w:val="21"/>
                      <w:highlight w:val="none"/>
                    </w:rPr>
                    <w:t>=0.</w:t>
                  </w:r>
                  <w:r>
                    <w:rPr>
                      <w:rFonts w:hint="eastAsia" w:ascii="宋体" w:hAnsi="宋体" w:eastAsia="宋体" w:cs="宋体"/>
                      <w:color w:val="auto"/>
                      <w:kern w:val="0"/>
                      <w:position w:val="-6"/>
                      <w:sz w:val="21"/>
                      <w:szCs w:val="21"/>
                      <w:highlight w:val="none"/>
                      <w:lang w:val="en-US" w:eastAsia="zh-CN"/>
                    </w:rPr>
                    <w:t>159</w:t>
                  </w:r>
                  <w:r>
                    <w:rPr>
                      <w:rFonts w:hint="eastAsia" w:ascii="宋体" w:hAnsi="宋体" w:eastAsia="宋体" w:cs="宋体"/>
                      <w:color w:val="auto"/>
                      <w:kern w:val="0"/>
                      <w:position w:val="-6"/>
                      <w:sz w:val="21"/>
                      <w:szCs w:val="21"/>
                      <w:highlight w:val="none"/>
                    </w:rPr>
                    <w:t>μSv</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position w:val="-6"/>
                      <w:sz w:val="21"/>
                      <w:szCs w:val="21"/>
                      <w:highlight w:val="none"/>
                    </w:rPr>
                    <w:t>h</w:t>
                  </w:r>
                  <w:r>
                    <w:rPr>
                      <w:rFonts w:hint="eastAsia" w:ascii="宋体" w:hAnsi="宋体" w:eastAsia="宋体" w:cs="宋体"/>
                      <w:color w:val="auto"/>
                      <w:kern w:val="0"/>
                      <w:position w:val="-6"/>
                      <w:sz w:val="21"/>
                      <w:szCs w:val="21"/>
                      <w:highlight w:val="none"/>
                      <w:vertAlign w:val="superscript"/>
                    </w:rPr>
                    <w:t>-1</w:t>
                  </w:r>
                </w:p>
              </w:tc>
              <w:tc>
                <w:tcPr>
                  <w:tcW w:w="1959" w:type="dxa"/>
                  <w:gridSpan w:val="2"/>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0.160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87" w:type="dxa"/>
                  <w:vMerge w:val="continue"/>
                  <w:tcBorders>
                    <w:tl2br w:val="nil"/>
                    <w:tr2bl w:val="nil"/>
                  </w:tcBorders>
                  <w:vAlign w:val="center"/>
                </w:tcPr>
                <w:p>
                  <w:pPr>
                    <w:spacing w:line="240" w:lineRule="auto"/>
                    <w:jc w:val="center"/>
                    <w:rPr>
                      <w:rFonts w:hint="eastAsia" w:ascii="宋体" w:hAnsi="宋体" w:eastAsia="宋体" w:cs="宋体"/>
                      <w:color w:val="0000FF"/>
                      <w:kern w:val="0"/>
                      <w:sz w:val="21"/>
                      <w:szCs w:val="21"/>
                      <w:highlight w:val="none"/>
                    </w:rPr>
                  </w:pPr>
                </w:p>
              </w:tc>
              <w:tc>
                <w:tcPr>
                  <w:tcW w:w="1286" w:type="dxa"/>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8</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eastAsia="zh-CN"/>
                    </w:rPr>
                    <w:t>（</w:t>
                  </w:r>
                  <w:r>
                    <w:rPr>
                      <w:rFonts w:hint="eastAsia" w:ascii="宋体" w:hAnsi="宋体" w:eastAsia="宋体" w:cs="宋体"/>
                      <w:color w:val="auto"/>
                      <w:kern w:val="0"/>
                      <w:sz w:val="21"/>
                      <w:szCs w:val="21"/>
                      <w:highlight w:val="none"/>
                      <w:lang w:val="en-US" w:eastAsia="zh-CN"/>
                    </w:rPr>
                    <w:t>迷路外墙）</w:t>
                  </w:r>
                </w:p>
              </w:tc>
              <w:tc>
                <w:tcPr>
                  <w:tcW w:w="1408" w:type="dxa"/>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泄露辐射</w:t>
                  </w:r>
                </w:p>
              </w:tc>
              <w:tc>
                <w:tcPr>
                  <w:tcW w:w="3482" w:type="dxa"/>
                  <w:tcBorders>
                    <w:tl2br w:val="nil"/>
                    <w:tr2bl w:val="nil"/>
                  </w:tcBorders>
                  <w:vAlign w:val="center"/>
                </w:tcPr>
                <w:p>
                  <w:pPr>
                    <w:spacing w:line="240" w:lineRule="auto"/>
                    <w:jc w:val="center"/>
                    <w:rPr>
                      <w:rFonts w:hint="eastAsia" w:ascii="宋体" w:hAnsi="宋体" w:eastAsia="宋体" w:cs="宋体"/>
                      <w:color w:val="auto"/>
                      <w:kern w:val="0"/>
                      <w:position w:val="-6"/>
                      <w:sz w:val="21"/>
                      <w:szCs w:val="21"/>
                      <w:highlight w:val="none"/>
                      <w:lang w:val="en-US" w:eastAsia="zh-CN"/>
                    </w:rPr>
                  </w:pPr>
                  <w:r>
                    <w:rPr>
                      <w:rFonts w:hint="eastAsia" w:ascii="宋体" w:hAnsi="宋体" w:eastAsia="宋体" w:cs="宋体"/>
                      <w:color w:val="auto"/>
                      <w:kern w:val="0"/>
                      <w:position w:val="-6"/>
                      <w:sz w:val="21"/>
                      <w:szCs w:val="21"/>
                      <w:highlight w:val="none"/>
                    </w:rPr>
                    <w:object>
                      <v:shape id="_x0000_i1064" o:spt="75" type="#_x0000_t75" style="height:17.25pt;width:13.9pt;" o:ole="t" filled="f" o:preferrelative="t" stroked="f" coordsize="21600,21600">
                        <v:path/>
                        <v:fill on="f" focussize="0,0"/>
                        <v:stroke on="f" joinstyle="miter"/>
                        <v:imagedata r:id="rId56" o:title=""/>
                        <o:lock v:ext="edit" aspectratio="t"/>
                        <w10:wrap type="none"/>
                        <w10:anchorlock/>
                      </v:shape>
                      <o:OLEObject Type="Embed" ProgID="Equation.KSEE3" ShapeID="_x0000_i1064" DrawAspect="Content" ObjectID="_1468075764" r:id="rId80">
                        <o:LockedField>false</o:LockedField>
                      </o:OLEObject>
                    </w:objec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3.6</w:t>
                  </w:r>
                  <w:r>
                    <w:rPr>
                      <w:rFonts w:hint="eastAsia" w:ascii="宋体" w:hAnsi="宋体" w:eastAsia="宋体" w:cs="宋体"/>
                      <w:color w:val="auto"/>
                      <w:kern w:val="0"/>
                      <w:sz w:val="21"/>
                      <w:szCs w:val="21"/>
                      <w:highlight w:val="none"/>
                    </w:rPr>
                    <w:t>×10</w:t>
                  </w:r>
                  <w:r>
                    <w:rPr>
                      <w:rFonts w:hint="eastAsia" w:ascii="宋体" w:hAnsi="宋体" w:eastAsia="宋体" w:cs="宋体"/>
                      <w:color w:val="auto"/>
                      <w:kern w:val="0"/>
                      <w:sz w:val="21"/>
                      <w:szCs w:val="21"/>
                      <w:highlight w:val="none"/>
                      <w:vertAlign w:val="superscript"/>
                    </w:rPr>
                    <w:t>8</w:t>
                  </w:r>
                  <w:r>
                    <w:rPr>
                      <w:rFonts w:hint="eastAsia" w:ascii="宋体" w:hAnsi="宋体" w:eastAsia="宋体" w:cs="宋体"/>
                      <w:color w:val="auto"/>
                      <w:kern w:val="0"/>
                      <w:sz w:val="21"/>
                      <w:szCs w:val="21"/>
                      <w:highlight w:val="none"/>
                    </w:rPr>
                    <w:t>μSv·m</w:t>
                  </w:r>
                  <w:r>
                    <w:rPr>
                      <w:rFonts w:hint="eastAsia" w:ascii="宋体" w:hAnsi="宋体" w:eastAsia="宋体" w:cs="宋体"/>
                      <w:color w:val="auto"/>
                      <w:kern w:val="0"/>
                      <w:sz w:val="21"/>
                      <w:szCs w:val="21"/>
                      <w:highlight w:val="none"/>
                      <w:vertAlign w:val="superscript"/>
                    </w:rPr>
                    <w:t>2</w:t>
                  </w:r>
                  <w:r>
                    <w:rPr>
                      <w:rFonts w:hint="eastAsia" w:ascii="宋体" w:hAnsi="宋体" w:eastAsia="宋体" w:cs="宋体"/>
                      <w:color w:val="auto"/>
                      <w:kern w:val="0"/>
                      <w:sz w:val="21"/>
                      <w:szCs w:val="21"/>
                      <w:highlight w:val="none"/>
                    </w:rPr>
                    <w:t>·h</w:t>
                  </w:r>
                  <w:r>
                    <w:rPr>
                      <w:rFonts w:hint="eastAsia" w:ascii="宋体" w:hAnsi="宋体" w:eastAsia="宋体" w:cs="宋体"/>
                      <w:color w:val="auto"/>
                      <w:kern w:val="0"/>
                      <w:sz w:val="21"/>
                      <w:szCs w:val="21"/>
                      <w:highlight w:val="none"/>
                      <w:vertAlign w:val="superscript"/>
                    </w:rPr>
                    <w:t>-1</w:t>
                  </w:r>
                  <w:r>
                    <w:rPr>
                      <w:rFonts w:hint="eastAsia" w:ascii="宋体" w:hAnsi="宋体" w:eastAsia="宋体" w:cs="宋体"/>
                      <w:color w:val="auto"/>
                      <w:kern w:val="0"/>
                      <w:sz w:val="21"/>
                      <w:szCs w:val="21"/>
                      <w:highlight w:val="none"/>
                    </w:rPr>
                    <w:t>；</w:t>
                  </w:r>
                  <w:r>
                    <w:rPr>
                      <w:rFonts w:hint="eastAsia" w:ascii="宋体" w:hAnsi="宋体" w:eastAsia="宋体" w:cs="宋体"/>
                      <w:i/>
                      <w:iCs/>
                      <w:color w:val="auto"/>
                      <w:kern w:val="0"/>
                      <w:sz w:val="21"/>
                      <w:szCs w:val="21"/>
                      <w:highlight w:val="none"/>
                    </w:rPr>
                    <w:t>f</w:t>
                  </w:r>
                  <w:r>
                    <w:rPr>
                      <w:rFonts w:hint="eastAsia" w:ascii="宋体" w:hAnsi="宋体" w:eastAsia="宋体" w:cs="宋体"/>
                      <w:color w:val="auto"/>
                      <w:kern w:val="0"/>
                      <w:sz w:val="21"/>
                      <w:szCs w:val="21"/>
                      <w:highlight w:val="none"/>
                    </w:rPr>
                    <w:t>=10</w:t>
                  </w:r>
                  <w:r>
                    <w:rPr>
                      <w:rFonts w:hint="eastAsia" w:ascii="宋体" w:hAnsi="宋体" w:eastAsia="宋体" w:cs="宋体"/>
                      <w:color w:val="auto"/>
                      <w:kern w:val="0"/>
                      <w:sz w:val="21"/>
                      <w:szCs w:val="21"/>
                      <w:highlight w:val="none"/>
                      <w:vertAlign w:val="superscript"/>
                    </w:rPr>
                    <w:t>-3</w:t>
                  </w:r>
                  <w:r>
                    <w:rPr>
                      <w:rFonts w:hint="eastAsia" w:ascii="宋体" w:hAnsi="宋体" w:eastAsia="宋体" w:cs="宋体"/>
                      <w:color w:val="auto"/>
                      <w:kern w:val="0"/>
                      <w:sz w:val="21"/>
                      <w:szCs w:val="21"/>
                      <w:highlight w:val="none"/>
                    </w:rPr>
                    <w:t>；</w:t>
                  </w:r>
                  <w:r>
                    <w:rPr>
                      <w:rFonts w:hint="eastAsia" w:ascii="宋体" w:hAnsi="宋体" w:eastAsia="宋体" w:cs="宋体"/>
                      <w:i/>
                      <w:iCs/>
                      <w:color w:val="auto"/>
                      <w:kern w:val="0"/>
                      <w:sz w:val="21"/>
                      <w:szCs w:val="21"/>
                      <w:highlight w:val="none"/>
                    </w:rPr>
                    <w:t>R</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10.8</w:t>
                  </w:r>
                  <w:r>
                    <w:rPr>
                      <w:rFonts w:hint="eastAsia" w:ascii="宋体" w:hAnsi="宋体" w:eastAsia="宋体" w:cs="宋体"/>
                      <w:color w:val="auto"/>
                      <w:kern w:val="0"/>
                      <w:sz w:val="21"/>
                      <w:szCs w:val="21"/>
                      <w:highlight w:val="none"/>
                    </w:rPr>
                    <w:t>m；</w:t>
                  </w:r>
                  <w:r>
                    <w:rPr>
                      <w:rFonts w:hint="eastAsia" w:ascii="宋体" w:hAnsi="宋体" w:eastAsia="宋体" w:cs="宋体"/>
                      <w:i/>
                      <w:iCs/>
                      <w:color w:val="auto"/>
                      <w:kern w:val="0"/>
                      <w:sz w:val="21"/>
                      <w:szCs w:val="21"/>
                      <w:highlight w:val="none"/>
                    </w:rPr>
                    <w:t>TVL</w:t>
                  </w:r>
                  <w:r>
                    <w:rPr>
                      <w:rFonts w:hint="eastAsia" w:ascii="宋体" w:hAnsi="宋体" w:eastAsia="宋体" w:cs="宋体"/>
                      <w:color w:val="auto"/>
                      <w:kern w:val="0"/>
                      <w:sz w:val="21"/>
                      <w:szCs w:val="21"/>
                      <w:highlight w:val="none"/>
                      <w:vertAlign w:val="subscript"/>
                    </w:rPr>
                    <w:t>1</w:t>
                  </w:r>
                  <w:r>
                    <w:rPr>
                      <w:rFonts w:hint="eastAsia" w:ascii="宋体" w:hAnsi="宋体" w:eastAsia="宋体" w:cs="宋体"/>
                      <w:color w:val="auto"/>
                      <w:kern w:val="0"/>
                      <w:sz w:val="21"/>
                      <w:szCs w:val="21"/>
                      <w:highlight w:val="none"/>
                    </w:rPr>
                    <w:t>=3</w:t>
                  </w:r>
                  <w:r>
                    <w:rPr>
                      <w:rFonts w:hint="eastAsia" w:ascii="宋体" w:hAnsi="宋体" w:eastAsia="宋体" w:cs="宋体"/>
                      <w:color w:val="auto"/>
                      <w:kern w:val="0"/>
                      <w:sz w:val="21"/>
                      <w:szCs w:val="21"/>
                      <w:highlight w:val="none"/>
                      <w:lang w:val="en-US" w:eastAsia="zh-CN"/>
                    </w:rPr>
                    <w:t>5</w:t>
                  </w:r>
                  <w:r>
                    <w:rPr>
                      <w:rFonts w:hint="eastAsia" w:ascii="宋体" w:hAnsi="宋体" w:eastAsia="宋体" w:cs="宋体"/>
                      <w:color w:val="auto"/>
                      <w:kern w:val="0"/>
                      <w:sz w:val="21"/>
                      <w:szCs w:val="21"/>
                      <w:highlight w:val="none"/>
                    </w:rPr>
                    <w:t>cm；</w:t>
                  </w:r>
                  <w:r>
                    <w:rPr>
                      <w:rFonts w:hint="eastAsia" w:ascii="宋体" w:hAnsi="宋体" w:eastAsia="宋体" w:cs="宋体"/>
                      <w:i/>
                      <w:iCs/>
                      <w:color w:val="auto"/>
                      <w:kern w:val="0"/>
                      <w:sz w:val="21"/>
                      <w:szCs w:val="21"/>
                      <w:highlight w:val="none"/>
                    </w:rPr>
                    <w:t>TVL</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31</w:t>
                  </w:r>
                  <w:r>
                    <w:rPr>
                      <w:rFonts w:hint="eastAsia" w:ascii="宋体" w:hAnsi="宋体" w:eastAsia="宋体" w:cs="宋体"/>
                      <w:color w:val="auto"/>
                      <w:kern w:val="0"/>
                      <w:sz w:val="21"/>
                      <w:szCs w:val="21"/>
                      <w:highlight w:val="none"/>
                    </w:rPr>
                    <w:t>cm；</w:t>
                  </w:r>
                  <w:r>
                    <w:rPr>
                      <w:rFonts w:hint="eastAsia" w:ascii="宋体" w:hAnsi="宋体" w:eastAsia="宋体" w:cs="宋体"/>
                      <w:i/>
                      <w:iCs/>
                      <w:color w:val="auto"/>
                      <w:kern w:val="0"/>
                      <w:sz w:val="21"/>
                      <w:szCs w:val="21"/>
                      <w:highlight w:val="none"/>
                    </w:rPr>
                    <w:t>X</w:t>
                  </w:r>
                  <w:r>
                    <w:rPr>
                      <w:rFonts w:hint="eastAsia" w:ascii="宋体" w:hAnsi="宋体" w:eastAsia="宋体" w:cs="宋体"/>
                      <w:color w:val="auto"/>
                      <w:kern w:val="0"/>
                      <w:sz w:val="21"/>
                      <w:szCs w:val="21"/>
                      <w:highlight w:val="none"/>
                    </w:rPr>
                    <w:t>=</w:t>
                  </w:r>
                  <w:r>
                    <w:rPr>
                      <w:rFonts w:hint="eastAsia" w:ascii="宋体" w:hAnsi="宋体" w:eastAsia="宋体" w:cs="宋体"/>
                      <w:i/>
                      <w:iCs/>
                      <w:color w:val="auto"/>
                      <w:kern w:val="0"/>
                      <w:sz w:val="21"/>
                      <w:szCs w:val="21"/>
                      <w:highlight w:val="none"/>
                    </w:rPr>
                    <w:t>Xe/cos</w:t>
                  </w:r>
                  <w:r>
                    <w:rPr>
                      <w:rFonts w:hint="eastAsia" w:ascii="宋体" w:hAnsi="宋体" w:eastAsia="宋体" w:cs="宋体"/>
                      <w:color w:val="auto"/>
                      <w:kern w:val="0"/>
                      <w:sz w:val="21"/>
                      <w:szCs w:val="21"/>
                      <w:highlight w:val="none"/>
                    </w:rPr>
                    <w:t>30°=</w:t>
                  </w:r>
                  <w:r>
                    <w:rPr>
                      <w:rFonts w:hint="eastAsia" w:ascii="宋体" w:hAnsi="宋体" w:eastAsia="宋体" w:cs="宋体"/>
                      <w:color w:val="auto"/>
                      <w:kern w:val="0"/>
                      <w:sz w:val="21"/>
                      <w:szCs w:val="21"/>
                      <w:highlight w:val="none"/>
                      <w:lang w:val="en-US" w:eastAsia="zh-CN"/>
                    </w:rPr>
                    <w:t>173.2</w:t>
                  </w:r>
                  <w:r>
                    <w:rPr>
                      <w:rFonts w:hint="eastAsia" w:ascii="宋体" w:hAnsi="宋体" w:eastAsia="宋体" w:cs="宋体"/>
                      <w:color w:val="auto"/>
                      <w:kern w:val="0"/>
                      <w:sz w:val="21"/>
                      <w:szCs w:val="21"/>
                      <w:highlight w:val="none"/>
                    </w:rPr>
                    <w:t>cm；</w:t>
                  </w:r>
                  <w:r>
                    <w:rPr>
                      <w:rFonts w:hint="eastAsia" w:ascii="宋体" w:hAnsi="宋体" w:eastAsia="宋体" w:cs="宋体"/>
                      <w:color w:val="auto"/>
                      <w:kern w:val="0"/>
                      <w:position w:val="-6"/>
                      <w:sz w:val="21"/>
                      <w:szCs w:val="21"/>
                      <w:highlight w:val="none"/>
                    </w:rPr>
                    <w:object>
                      <v:shape id="_x0000_i1065" o:spt="75" type="#_x0000_t75" style="height:12pt;width:94.15pt;" o:ole="t" filled="f" o:preferrelative="t" stroked="f" coordsize="21600,21600">
                        <v:path/>
                        <v:fill on="f" focussize="0,0"/>
                        <v:stroke on="f" joinstyle="miter"/>
                        <v:imagedata r:id="rId28" o:title=""/>
                        <o:lock v:ext="edit" aspectratio="t"/>
                        <w10:wrap type="none"/>
                        <w10:anchorlock/>
                      </v:shape>
                      <o:OLEObject Type="Embed" ProgID="Equations" ShapeID="_x0000_i1065" DrawAspect="Content" ObjectID="_1468075765" r:id="rId81">
                        <o:LockedField>false</o:LockedField>
                      </o:OLEObject>
                    </w:object>
                  </w:r>
                  <w:r>
                    <w:rPr>
                      <w:rFonts w:hint="eastAsia" w:ascii="宋体" w:hAnsi="宋体" w:eastAsia="宋体" w:cs="宋体"/>
                      <w:color w:val="auto"/>
                      <w:kern w:val="0"/>
                      <w:position w:val="-6"/>
                      <w:sz w:val="21"/>
                      <w:szCs w:val="21"/>
                      <w:highlight w:val="none"/>
                    </w:rPr>
                    <w:t>=</w:t>
                  </w:r>
                  <w:r>
                    <w:rPr>
                      <w:rFonts w:hint="eastAsia" w:ascii="宋体" w:hAnsi="宋体" w:eastAsia="宋体" w:cs="宋体"/>
                      <w:color w:val="auto"/>
                      <w:kern w:val="0"/>
                      <w:position w:val="-6"/>
                      <w:sz w:val="21"/>
                      <w:szCs w:val="21"/>
                      <w:highlight w:val="none"/>
                      <w:lang w:val="en-US" w:eastAsia="zh-CN"/>
                    </w:rPr>
                    <w:t>1</w:t>
                  </w:r>
                  <w:r>
                    <w:rPr>
                      <w:rFonts w:hint="eastAsia" w:ascii="宋体" w:hAnsi="宋体" w:eastAsia="宋体" w:cs="宋体"/>
                      <w:color w:val="auto"/>
                      <w:kern w:val="0"/>
                      <w:position w:val="-6"/>
                      <w:sz w:val="21"/>
                      <w:szCs w:val="21"/>
                      <w:highlight w:val="none"/>
                    </w:rPr>
                    <w:t>×10</w:t>
                  </w:r>
                  <w:r>
                    <w:rPr>
                      <w:rFonts w:hint="eastAsia" w:ascii="宋体" w:hAnsi="宋体" w:eastAsia="宋体" w:cs="宋体"/>
                      <w:color w:val="auto"/>
                      <w:kern w:val="0"/>
                      <w:position w:val="-6"/>
                      <w:sz w:val="21"/>
                      <w:szCs w:val="21"/>
                      <w:highlight w:val="none"/>
                      <w:vertAlign w:val="superscript"/>
                    </w:rPr>
                    <w:t>-</w:t>
                  </w:r>
                  <w:r>
                    <w:rPr>
                      <w:rFonts w:hint="eastAsia" w:ascii="宋体" w:hAnsi="宋体" w:eastAsia="宋体" w:cs="宋体"/>
                      <w:color w:val="auto"/>
                      <w:kern w:val="0"/>
                      <w:position w:val="-6"/>
                      <w:sz w:val="21"/>
                      <w:szCs w:val="21"/>
                      <w:highlight w:val="none"/>
                      <w:vertAlign w:val="superscript"/>
                      <w:lang w:val="en-US" w:eastAsia="zh-CN"/>
                    </w:rPr>
                    <w:t>5</w:t>
                  </w:r>
                </w:p>
              </w:tc>
              <w:tc>
                <w:tcPr>
                  <w:tcW w:w="1959" w:type="dxa"/>
                  <w:gridSpan w:val="2"/>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0.011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87" w:type="dxa"/>
                  <w:vMerge w:val="continue"/>
                  <w:tcBorders>
                    <w:tl2br w:val="nil"/>
                    <w:tr2bl w:val="nil"/>
                  </w:tcBorders>
                  <w:vAlign w:val="center"/>
                </w:tcPr>
                <w:p>
                  <w:pPr>
                    <w:spacing w:line="240" w:lineRule="auto"/>
                    <w:jc w:val="center"/>
                    <w:rPr>
                      <w:rFonts w:hint="eastAsia" w:ascii="宋体" w:hAnsi="宋体" w:eastAsia="宋体" w:cs="宋体"/>
                      <w:color w:val="0000FF"/>
                      <w:kern w:val="0"/>
                      <w:sz w:val="21"/>
                      <w:szCs w:val="21"/>
                      <w:highlight w:val="none"/>
                    </w:rPr>
                  </w:pPr>
                </w:p>
              </w:tc>
              <w:tc>
                <w:tcPr>
                  <w:tcW w:w="1286" w:type="dxa"/>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lang w:val="en-US" w:eastAsia="zh-CN"/>
                    </w:rPr>
                    <w:t>9</w:t>
                  </w:r>
                  <w:r>
                    <w:rPr>
                      <w:rFonts w:hint="eastAsia" w:ascii="宋体" w:hAnsi="宋体" w:eastAsia="宋体" w:cs="宋体"/>
                      <w:color w:val="auto"/>
                      <w:kern w:val="0"/>
                      <w:sz w:val="21"/>
                      <w:szCs w:val="21"/>
                      <w:highlight w:val="none"/>
                    </w:rPr>
                    <w:t>#（屋顶主屏蔽墙外）</w:t>
                  </w:r>
                </w:p>
              </w:tc>
              <w:tc>
                <w:tcPr>
                  <w:tcW w:w="1408" w:type="dxa"/>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有用线束</w:t>
                  </w:r>
                </w:p>
              </w:tc>
              <w:tc>
                <w:tcPr>
                  <w:tcW w:w="3482" w:type="dxa"/>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position w:val="-6"/>
                      <w:sz w:val="21"/>
                      <w:szCs w:val="21"/>
                      <w:highlight w:val="none"/>
                    </w:rPr>
                    <w:object>
                      <v:shape id="_x0000_i1066" o:spt="75" type="#_x0000_t75" style="height:17.25pt;width:13.9pt;" o:ole="t" filled="f" o:preferrelative="t" stroked="f" coordsize="21600,21600">
                        <v:path/>
                        <v:fill on="f" focussize="0,0"/>
                        <v:stroke on="f" joinstyle="miter"/>
                        <v:imagedata r:id="rId56" o:title=""/>
                        <o:lock v:ext="edit" aspectratio="t"/>
                        <w10:wrap type="none"/>
                        <w10:anchorlock/>
                      </v:shape>
                      <o:OLEObject Type="Embed" ProgID="Equation.KSEE3" ShapeID="_x0000_i1066" DrawAspect="Content" ObjectID="_1468075766" r:id="rId82">
                        <o:LockedField>false</o:LockedField>
                      </o:OLEObject>
                    </w:objec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3.6</w:t>
                  </w:r>
                  <w:r>
                    <w:rPr>
                      <w:rFonts w:hint="eastAsia" w:ascii="宋体" w:hAnsi="宋体" w:eastAsia="宋体" w:cs="宋体"/>
                      <w:color w:val="auto"/>
                      <w:kern w:val="0"/>
                      <w:sz w:val="21"/>
                      <w:szCs w:val="21"/>
                      <w:highlight w:val="none"/>
                    </w:rPr>
                    <w:t>×10</w:t>
                  </w:r>
                  <w:r>
                    <w:rPr>
                      <w:rFonts w:hint="eastAsia" w:ascii="宋体" w:hAnsi="宋体" w:eastAsia="宋体" w:cs="宋体"/>
                      <w:color w:val="auto"/>
                      <w:kern w:val="0"/>
                      <w:sz w:val="21"/>
                      <w:szCs w:val="21"/>
                      <w:highlight w:val="none"/>
                      <w:vertAlign w:val="superscript"/>
                    </w:rPr>
                    <w:t>8</w:t>
                  </w:r>
                  <w:r>
                    <w:rPr>
                      <w:rFonts w:hint="eastAsia" w:ascii="宋体" w:hAnsi="宋体" w:eastAsia="宋体" w:cs="宋体"/>
                      <w:color w:val="auto"/>
                      <w:kern w:val="0"/>
                      <w:sz w:val="21"/>
                      <w:szCs w:val="21"/>
                      <w:highlight w:val="none"/>
                    </w:rPr>
                    <w:t>μSv·m</w:t>
                  </w:r>
                  <w:r>
                    <w:rPr>
                      <w:rFonts w:hint="eastAsia" w:ascii="宋体" w:hAnsi="宋体" w:eastAsia="宋体" w:cs="宋体"/>
                      <w:color w:val="auto"/>
                      <w:kern w:val="0"/>
                      <w:sz w:val="21"/>
                      <w:szCs w:val="21"/>
                      <w:highlight w:val="none"/>
                      <w:vertAlign w:val="superscript"/>
                    </w:rPr>
                    <w:t>2</w:t>
                  </w:r>
                  <w:r>
                    <w:rPr>
                      <w:rFonts w:hint="eastAsia" w:ascii="宋体" w:hAnsi="宋体" w:eastAsia="宋体" w:cs="宋体"/>
                      <w:color w:val="auto"/>
                      <w:kern w:val="0"/>
                      <w:sz w:val="21"/>
                      <w:szCs w:val="21"/>
                      <w:highlight w:val="none"/>
                    </w:rPr>
                    <w:t>·h</w:t>
                  </w:r>
                  <w:r>
                    <w:rPr>
                      <w:rFonts w:hint="eastAsia" w:ascii="宋体" w:hAnsi="宋体" w:eastAsia="宋体" w:cs="宋体"/>
                      <w:color w:val="auto"/>
                      <w:kern w:val="0"/>
                      <w:sz w:val="21"/>
                      <w:szCs w:val="21"/>
                      <w:highlight w:val="none"/>
                      <w:vertAlign w:val="superscript"/>
                    </w:rPr>
                    <w:t>-1</w:t>
                  </w:r>
                  <w:r>
                    <w:rPr>
                      <w:rFonts w:hint="eastAsia" w:ascii="宋体" w:hAnsi="宋体" w:eastAsia="宋体" w:cs="宋体"/>
                      <w:color w:val="auto"/>
                      <w:kern w:val="0"/>
                      <w:sz w:val="21"/>
                      <w:szCs w:val="21"/>
                      <w:highlight w:val="none"/>
                    </w:rPr>
                    <w:t>；</w:t>
                  </w:r>
                  <w:r>
                    <w:rPr>
                      <w:rFonts w:hint="eastAsia" w:ascii="宋体" w:hAnsi="宋体" w:eastAsia="宋体" w:cs="宋体"/>
                      <w:i/>
                      <w:iCs/>
                      <w:color w:val="auto"/>
                      <w:kern w:val="0"/>
                      <w:sz w:val="21"/>
                      <w:szCs w:val="21"/>
                      <w:highlight w:val="none"/>
                    </w:rPr>
                    <w:t>f</w:t>
                  </w:r>
                  <w:r>
                    <w:rPr>
                      <w:rFonts w:hint="eastAsia" w:ascii="宋体" w:hAnsi="宋体" w:eastAsia="宋体" w:cs="宋体"/>
                      <w:color w:val="auto"/>
                      <w:kern w:val="0"/>
                      <w:sz w:val="21"/>
                      <w:szCs w:val="21"/>
                      <w:highlight w:val="none"/>
                    </w:rPr>
                    <w:t>=1；</w:t>
                  </w:r>
                  <w:r>
                    <w:rPr>
                      <w:rFonts w:hint="eastAsia" w:ascii="宋体" w:hAnsi="宋体" w:eastAsia="宋体" w:cs="宋体"/>
                      <w:i/>
                      <w:iCs/>
                      <w:color w:val="auto"/>
                      <w:kern w:val="0"/>
                      <w:sz w:val="21"/>
                      <w:szCs w:val="21"/>
                      <w:highlight w:val="none"/>
                    </w:rPr>
                    <w:t>R</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5.65</w:t>
                  </w:r>
                  <w:r>
                    <w:rPr>
                      <w:rFonts w:hint="eastAsia" w:ascii="宋体" w:hAnsi="宋体" w:eastAsia="宋体" w:cs="宋体"/>
                      <w:color w:val="auto"/>
                      <w:kern w:val="0"/>
                      <w:sz w:val="21"/>
                      <w:szCs w:val="21"/>
                      <w:highlight w:val="none"/>
                    </w:rPr>
                    <w:t>m；</w:t>
                  </w:r>
                  <w:r>
                    <w:rPr>
                      <w:rFonts w:hint="eastAsia" w:ascii="宋体" w:hAnsi="宋体" w:eastAsia="宋体" w:cs="宋体"/>
                      <w:i/>
                      <w:iCs/>
                      <w:color w:val="auto"/>
                      <w:kern w:val="0"/>
                      <w:sz w:val="21"/>
                      <w:szCs w:val="21"/>
                      <w:highlight w:val="none"/>
                    </w:rPr>
                    <w:t>TVL</w:t>
                  </w:r>
                  <w:r>
                    <w:rPr>
                      <w:rFonts w:hint="eastAsia" w:ascii="宋体" w:hAnsi="宋体" w:eastAsia="宋体" w:cs="宋体"/>
                      <w:color w:val="auto"/>
                      <w:kern w:val="0"/>
                      <w:sz w:val="21"/>
                      <w:szCs w:val="21"/>
                      <w:highlight w:val="none"/>
                      <w:vertAlign w:val="subscript"/>
                    </w:rPr>
                    <w:t>1</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41</w:t>
                  </w:r>
                  <w:r>
                    <w:rPr>
                      <w:rFonts w:hint="eastAsia" w:ascii="宋体" w:hAnsi="宋体" w:eastAsia="宋体" w:cs="宋体"/>
                      <w:color w:val="auto"/>
                      <w:kern w:val="0"/>
                      <w:sz w:val="21"/>
                      <w:szCs w:val="21"/>
                      <w:highlight w:val="none"/>
                    </w:rPr>
                    <w:t>cm；</w:t>
                  </w:r>
                  <w:r>
                    <w:rPr>
                      <w:rFonts w:hint="eastAsia" w:ascii="宋体" w:hAnsi="宋体" w:eastAsia="宋体" w:cs="宋体"/>
                      <w:i/>
                      <w:iCs/>
                      <w:color w:val="auto"/>
                      <w:kern w:val="0"/>
                      <w:sz w:val="21"/>
                      <w:szCs w:val="21"/>
                      <w:highlight w:val="none"/>
                    </w:rPr>
                    <w:t>TVL</w:t>
                  </w:r>
                  <w:r>
                    <w:rPr>
                      <w:rFonts w:hint="eastAsia" w:ascii="宋体" w:hAnsi="宋体" w:eastAsia="宋体" w:cs="宋体"/>
                      <w:color w:val="auto"/>
                      <w:kern w:val="0"/>
                      <w:sz w:val="21"/>
                      <w:szCs w:val="21"/>
                      <w:highlight w:val="none"/>
                    </w:rPr>
                    <w:t>=3</w:t>
                  </w:r>
                  <w:r>
                    <w:rPr>
                      <w:rFonts w:hint="eastAsia" w:ascii="宋体" w:hAnsi="宋体" w:eastAsia="宋体" w:cs="宋体"/>
                      <w:color w:val="auto"/>
                      <w:kern w:val="0"/>
                      <w:sz w:val="21"/>
                      <w:szCs w:val="21"/>
                      <w:highlight w:val="none"/>
                      <w:lang w:val="en-US" w:eastAsia="zh-CN"/>
                    </w:rPr>
                    <w:t>7</w:t>
                  </w:r>
                  <w:r>
                    <w:rPr>
                      <w:rFonts w:hint="eastAsia" w:ascii="宋体" w:hAnsi="宋体" w:eastAsia="宋体" w:cs="宋体"/>
                      <w:color w:val="auto"/>
                      <w:kern w:val="0"/>
                      <w:sz w:val="21"/>
                      <w:szCs w:val="21"/>
                      <w:highlight w:val="none"/>
                    </w:rPr>
                    <w:t>cm；</w:t>
                  </w:r>
                  <w:r>
                    <w:rPr>
                      <w:rFonts w:hint="eastAsia" w:ascii="宋体" w:hAnsi="宋体" w:eastAsia="宋体" w:cs="宋体"/>
                      <w:i/>
                      <w:iCs/>
                      <w:color w:val="auto"/>
                      <w:kern w:val="0"/>
                      <w:sz w:val="21"/>
                      <w:szCs w:val="21"/>
                      <w:highlight w:val="none"/>
                    </w:rPr>
                    <w:t>X</w:t>
                  </w:r>
                  <w:r>
                    <w:rPr>
                      <w:rFonts w:hint="eastAsia" w:ascii="宋体" w:hAnsi="宋体" w:eastAsia="宋体" w:cs="宋体"/>
                      <w:color w:val="auto"/>
                      <w:kern w:val="0"/>
                      <w:sz w:val="21"/>
                      <w:szCs w:val="21"/>
                      <w:highlight w:val="none"/>
                    </w:rPr>
                    <w:t>=</w:t>
                  </w:r>
                  <w:r>
                    <w:rPr>
                      <w:rFonts w:hint="eastAsia" w:ascii="宋体" w:hAnsi="宋体" w:eastAsia="宋体" w:cs="宋体"/>
                      <w:i/>
                      <w:iCs/>
                      <w:color w:val="auto"/>
                      <w:kern w:val="0"/>
                      <w:sz w:val="21"/>
                      <w:szCs w:val="21"/>
                      <w:highlight w:val="none"/>
                    </w:rPr>
                    <w:t>Xe</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290</w:t>
                  </w:r>
                  <w:r>
                    <w:rPr>
                      <w:rFonts w:hint="eastAsia" w:ascii="宋体" w:hAnsi="宋体" w:eastAsia="宋体" w:cs="宋体"/>
                      <w:color w:val="auto"/>
                      <w:kern w:val="0"/>
                      <w:sz w:val="21"/>
                      <w:szCs w:val="21"/>
                      <w:highlight w:val="none"/>
                    </w:rPr>
                    <w:t>cm；</w:t>
                  </w:r>
                  <w:r>
                    <w:rPr>
                      <w:rFonts w:hint="eastAsia" w:ascii="宋体" w:hAnsi="宋体" w:eastAsia="宋体" w:cs="宋体"/>
                      <w:color w:val="auto"/>
                      <w:kern w:val="0"/>
                      <w:position w:val="-6"/>
                      <w:sz w:val="21"/>
                      <w:szCs w:val="21"/>
                      <w:highlight w:val="none"/>
                    </w:rPr>
                    <w:object>
                      <v:shape id="_x0000_i1067" o:spt="75" type="#_x0000_t75" style="height:12pt;width:94.15pt;" o:ole="t" filled="f" o:preferrelative="t" stroked="f" coordsize="21600,21600">
                        <v:path/>
                        <v:fill on="f" focussize="0,0"/>
                        <v:stroke on="f" joinstyle="miter"/>
                        <v:imagedata r:id="rId28" o:title=""/>
                        <o:lock v:ext="edit" aspectratio="t"/>
                        <w10:wrap type="none"/>
                        <w10:anchorlock/>
                      </v:shape>
                      <o:OLEObject Type="Embed" ProgID="Equations" ShapeID="_x0000_i1067" DrawAspect="Content" ObjectID="_1468075767" r:id="rId83">
                        <o:LockedField>false</o:LockedField>
                      </o:OLEObject>
                    </w:object>
                  </w:r>
                  <w:r>
                    <w:rPr>
                      <w:rFonts w:hint="eastAsia" w:ascii="宋体" w:hAnsi="宋体" w:eastAsia="宋体" w:cs="宋体"/>
                      <w:color w:val="auto"/>
                      <w:kern w:val="0"/>
                      <w:position w:val="-6"/>
                      <w:sz w:val="21"/>
                      <w:szCs w:val="21"/>
                      <w:highlight w:val="none"/>
                    </w:rPr>
                    <w:t>=</w:t>
                  </w:r>
                  <w:r>
                    <w:rPr>
                      <w:rFonts w:hint="eastAsia" w:ascii="宋体" w:hAnsi="宋体" w:eastAsia="宋体" w:cs="宋体"/>
                      <w:color w:val="auto"/>
                      <w:kern w:val="0"/>
                      <w:position w:val="-6"/>
                      <w:sz w:val="21"/>
                      <w:szCs w:val="21"/>
                      <w:highlight w:val="none"/>
                      <w:lang w:val="en-US" w:eastAsia="zh-CN"/>
                    </w:rPr>
                    <w:t>1.86</w:t>
                  </w:r>
                  <w:r>
                    <w:rPr>
                      <w:rFonts w:hint="eastAsia" w:ascii="宋体" w:hAnsi="宋体" w:eastAsia="宋体" w:cs="宋体"/>
                      <w:color w:val="auto"/>
                      <w:kern w:val="0"/>
                      <w:position w:val="-6"/>
                      <w:sz w:val="21"/>
                      <w:szCs w:val="21"/>
                      <w:highlight w:val="none"/>
                    </w:rPr>
                    <w:t>×10</w:t>
                  </w:r>
                  <w:r>
                    <w:rPr>
                      <w:rFonts w:hint="eastAsia" w:ascii="宋体" w:hAnsi="宋体" w:eastAsia="宋体" w:cs="宋体"/>
                      <w:color w:val="auto"/>
                      <w:kern w:val="0"/>
                      <w:position w:val="-6"/>
                      <w:sz w:val="21"/>
                      <w:szCs w:val="21"/>
                      <w:highlight w:val="none"/>
                      <w:vertAlign w:val="superscript"/>
                    </w:rPr>
                    <w:t>-</w:t>
                  </w:r>
                  <w:r>
                    <w:rPr>
                      <w:rFonts w:hint="eastAsia" w:ascii="宋体" w:hAnsi="宋体" w:eastAsia="宋体" w:cs="宋体"/>
                      <w:color w:val="auto"/>
                      <w:kern w:val="0"/>
                      <w:position w:val="-6"/>
                      <w:sz w:val="21"/>
                      <w:szCs w:val="21"/>
                      <w:highlight w:val="none"/>
                      <w:vertAlign w:val="superscript"/>
                      <w:lang w:val="en-US" w:eastAsia="zh-CN"/>
                    </w:rPr>
                    <w:t>8</w:t>
                  </w:r>
                </w:p>
              </w:tc>
              <w:tc>
                <w:tcPr>
                  <w:tcW w:w="1959" w:type="dxa"/>
                  <w:gridSpan w:val="2"/>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0.210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87" w:type="dxa"/>
                  <w:vMerge w:val="continue"/>
                  <w:tcBorders>
                    <w:tl2br w:val="nil"/>
                    <w:tr2bl w:val="nil"/>
                  </w:tcBorders>
                  <w:vAlign w:val="center"/>
                </w:tcPr>
                <w:p>
                  <w:pPr>
                    <w:spacing w:line="240" w:lineRule="auto"/>
                    <w:jc w:val="center"/>
                    <w:rPr>
                      <w:rFonts w:hint="eastAsia" w:ascii="宋体" w:hAnsi="宋体" w:eastAsia="宋体" w:cs="宋体"/>
                      <w:color w:val="0000FF"/>
                      <w:kern w:val="0"/>
                      <w:sz w:val="21"/>
                      <w:szCs w:val="21"/>
                      <w:highlight w:val="none"/>
                    </w:rPr>
                  </w:pPr>
                </w:p>
              </w:tc>
              <w:tc>
                <w:tcPr>
                  <w:tcW w:w="1286" w:type="dxa"/>
                  <w:vMerge w:val="restart"/>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lang w:val="en-US" w:eastAsia="zh-CN"/>
                    </w:rPr>
                    <w:t>10#</w:t>
                  </w:r>
                  <w:r>
                    <w:rPr>
                      <w:rFonts w:hint="eastAsia" w:ascii="宋体" w:hAnsi="宋体" w:eastAsia="宋体" w:cs="宋体"/>
                      <w:color w:val="auto"/>
                      <w:kern w:val="0"/>
                      <w:sz w:val="21"/>
                      <w:szCs w:val="21"/>
                      <w:highlight w:val="none"/>
                    </w:rPr>
                    <w:t>（屋顶副屏蔽墙外）</w:t>
                  </w:r>
                </w:p>
              </w:tc>
              <w:tc>
                <w:tcPr>
                  <w:tcW w:w="1408" w:type="dxa"/>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泄露辐射</w:t>
                  </w:r>
                </w:p>
              </w:tc>
              <w:tc>
                <w:tcPr>
                  <w:tcW w:w="3482" w:type="dxa"/>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position w:val="-6"/>
                      <w:sz w:val="21"/>
                      <w:szCs w:val="21"/>
                      <w:highlight w:val="none"/>
                    </w:rPr>
                    <w:object>
                      <v:shape id="_x0000_i1068" o:spt="75" type="#_x0000_t75" style="height:17.25pt;width:13.9pt;" o:ole="t" filled="f" o:preferrelative="t" stroked="f" coordsize="21600,21600">
                        <v:path/>
                        <v:fill on="f" focussize="0,0"/>
                        <v:stroke on="f" joinstyle="miter"/>
                        <v:imagedata r:id="rId56" o:title=""/>
                        <o:lock v:ext="edit" aspectratio="t"/>
                        <w10:wrap type="none"/>
                        <w10:anchorlock/>
                      </v:shape>
                      <o:OLEObject Type="Embed" ProgID="Equation.KSEE3" ShapeID="_x0000_i1068" DrawAspect="Content" ObjectID="_1468075768" r:id="rId84">
                        <o:LockedField>false</o:LockedField>
                      </o:OLEObject>
                    </w:objec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3.6</w:t>
                  </w:r>
                  <w:r>
                    <w:rPr>
                      <w:rFonts w:hint="eastAsia" w:ascii="宋体" w:hAnsi="宋体" w:eastAsia="宋体" w:cs="宋体"/>
                      <w:color w:val="auto"/>
                      <w:kern w:val="0"/>
                      <w:sz w:val="21"/>
                      <w:szCs w:val="21"/>
                      <w:highlight w:val="none"/>
                    </w:rPr>
                    <w:t>×10</w:t>
                  </w:r>
                  <w:r>
                    <w:rPr>
                      <w:rFonts w:hint="eastAsia" w:ascii="宋体" w:hAnsi="宋体" w:eastAsia="宋体" w:cs="宋体"/>
                      <w:color w:val="auto"/>
                      <w:kern w:val="0"/>
                      <w:sz w:val="21"/>
                      <w:szCs w:val="21"/>
                      <w:highlight w:val="none"/>
                      <w:vertAlign w:val="superscript"/>
                    </w:rPr>
                    <w:t>8</w:t>
                  </w:r>
                  <w:r>
                    <w:rPr>
                      <w:rFonts w:hint="eastAsia" w:ascii="宋体" w:hAnsi="宋体" w:eastAsia="宋体" w:cs="宋体"/>
                      <w:color w:val="auto"/>
                      <w:kern w:val="0"/>
                      <w:sz w:val="21"/>
                      <w:szCs w:val="21"/>
                      <w:highlight w:val="none"/>
                    </w:rPr>
                    <w:t>μSv·m</w:t>
                  </w:r>
                  <w:r>
                    <w:rPr>
                      <w:rFonts w:hint="eastAsia" w:ascii="宋体" w:hAnsi="宋体" w:eastAsia="宋体" w:cs="宋体"/>
                      <w:color w:val="auto"/>
                      <w:kern w:val="0"/>
                      <w:sz w:val="21"/>
                      <w:szCs w:val="21"/>
                      <w:highlight w:val="none"/>
                      <w:vertAlign w:val="superscript"/>
                    </w:rPr>
                    <w:t>2</w:t>
                  </w:r>
                  <w:r>
                    <w:rPr>
                      <w:rFonts w:hint="eastAsia" w:ascii="宋体" w:hAnsi="宋体" w:eastAsia="宋体" w:cs="宋体"/>
                      <w:color w:val="auto"/>
                      <w:kern w:val="0"/>
                      <w:sz w:val="21"/>
                      <w:szCs w:val="21"/>
                      <w:highlight w:val="none"/>
                    </w:rPr>
                    <w:t>·h</w:t>
                  </w:r>
                  <w:r>
                    <w:rPr>
                      <w:rFonts w:hint="eastAsia" w:ascii="宋体" w:hAnsi="宋体" w:eastAsia="宋体" w:cs="宋体"/>
                      <w:color w:val="auto"/>
                      <w:kern w:val="0"/>
                      <w:sz w:val="21"/>
                      <w:szCs w:val="21"/>
                      <w:highlight w:val="none"/>
                      <w:vertAlign w:val="superscript"/>
                    </w:rPr>
                    <w:t>-1</w:t>
                  </w:r>
                  <w:r>
                    <w:rPr>
                      <w:rFonts w:hint="eastAsia" w:ascii="宋体" w:hAnsi="宋体" w:eastAsia="宋体" w:cs="宋体"/>
                      <w:color w:val="auto"/>
                      <w:kern w:val="0"/>
                      <w:sz w:val="21"/>
                      <w:szCs w:val="21"/>
                      <w:highlight w:val="none"/>
                    </w:rPr>
                    <w:t>；</w:t>
                  </w:r>
                  <w:r>
                    <w:rPr>
                      <w:rFonts w:hint="eastAsia" w:ascii="宋体" w:hAnsi="宋体" w:eastAsia="宋体" w:cs="宋体"/>
                      <w:i/>
                      <w:iCs/>
                      <w:color w:val="auto"/>
                      <w:kern w:val="0"/>
                      <w:sz w:val="21"/>
                      <w:szCs w:val="21"/>
                      <w:highlight w:val="none"/>
                    </w:rPr>
                    <w:t>f</w:t>
                  </w:r>
                  <w:r>
                    <w:rPr>
                      <w:rFonts w:hint="eastAsia" w:ascii="宋体" w:hAnsi="宋体" w:eastAsia="宋体" w:cs="宋体"/>
                      <w:color w:val="auto"/>
                      <w:kern w:val="0"/>
                      <w:sz w:val="21"/>
                      <w:szCs w:val="21"/>
                      <w:highlight w:val="none"/>
                    </w:rPr>
                    <w:t>=10</w:t>
                  </w:r>
                  <w:r>
                    <w:rPr>
                      <w:rFonts w:hint="eastAsia" w:ascii="宋体" w:hAnsi="宋体" w:eastAsia="宋体" w:cs="宋体"/>
                      <w:color w:val="auto"/>
                      <w:kern w:val="0"/>
                      <w:sz w:val="21"/>
                      <w:szCs w:val="21"/>
                      <w:highlight w:val="none"/>
                      <w:vertAlign w:val="superscript"/>
                    </w:rPr>
                    <w:t>-3</w:t>
                  </w:r>
                  <w:r>
                    <w:rPr>
                      <w:rFonts w:hint="eastAsia" w:ascii="宋体" w:hAnsi="宋体" w:eastAsia="宋体" w:cs="宋体"/>
                      <w:color w:val="auto"/>
                      <w:kern w:val="0"/>
                      <w:sz w:val="21"/>
                      <w:szCs w:val="21"/>
                      <w:highlight w:val="none"/>
                    </w:rPr>
                    <w:t>；</w:t>
                  </w:r>
                  <w:r>
                    <w:rPr>
                      <w:rFonts w:hint="eastAsia" w:ascii="宋体" w:hAnsi="宋体" w:eastAsia="宋体" w:cs="宋体"/>
                      <w:i/>
                      <w:iCs/>
                      <w:color w:val="auto"/>
                      <w:kern w:val="0"/>
                      <w:sz w:val="21"/>
                      <w:szCs w:val="21"/>
                      <w:highlight w:val="none"/>
                    </w:rPr>
                    <w:t>R</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4.95</w:t>
                  </w:r>
                  <w:r>
                    <w:rPr>
                      <w:rFonts w:hint="eastAsia" w:ascii="宋体" w:hAnsi="宋体" w:eastAsia="宋体" w:cs="宋体"/>
                      <w:color w:val="auto"/>
                      <w:kern w:val="0"/>
                      <w:sz w:val="21"/>
                      <w:szCs w:val="21"/>
                      <w:highlight w:val="none"/>
                    </w:rPr>
                    <w:t>m；</w:t>
                  </w:r>
                  <w:r>
                    <w:rPr>
                      <w:rFonts w:hint="eastAsia" w:ascii="宋体" w:hAnsi="宋体" w:eastAsia="宋体" w:cs="宋体"/>
                      <w:i/>
                      <w:iCs/>
                      <w:color w:val="auto"/>
                      <w:kern w:val="0"/>
                      <w:sz w:val="21"/>
                      <w:szCs w:val="21"/>
                      <w:highlight w:val="none"/>
                    </w:rPr>
                    <w:t>TVL</w:t>
                  </w:r>
                  <w:r>
                    <w:rPr>
                      <w:rFonts w:hint="eastAsia" w:ascii="宋体" w:hAnsi="宋体" w:eastAsia="宋体" w:cs="宋体"/>
                      <w:color w:val="auto"/>
                      <w:kern w:val="0"/>
                      <w:sz w:val="21"/>
                      <w:szCs w:val="21"/>
                      <w:highlight w:val="none"/>
                      <w:vertAlign w:val="subscript"/>
                    </w:rPr>
                    <w:t>1</w:t>
                  </w:r>
                  <w:r>
                    <w:rPr>
                      <w:rFonts w:hint="eastAsia" w:ascii="宋体" w:hAnsi="宋体" w:eastAsia="宋体" w:cs="宋体"/>
                      <w:color w:val="auto"/>
                      <w:kern w:val="0"/>
                      <w:sz w:val="21"/>
                      <w:szCs w:val="21"/>
                      <w:highlight w:val="none"/>
                    </w:rPr>
                    <w:t>=3</w:t>
                  </w:r>
                  <w:r>
                    <w:rPr>
                      <w:rFonts w:hint="eastAsia" w:ascii="宋体" w:hAnsi="宋体" w:eastAsia="宋体" w:cs="宋体"/>
                      <w:color w:val="auto"/>
                      <w:kern w:val="0"/>
                      <w:sz w:val="21"/>
                      <w:szCs w:val="21"/>
                      <w:highlight w:val="none"/>
                      <w:lang w:val="en-US" w:eastAsia="zh-CN"/>
                    </w:rPr>
                    <w:t>5</w:t>
                  </w:r>
                  <w:r>
                    <w:rPr>
                      <w:rFonts w:hint="eastAsia" w:ascii="宋体" w:hAnsi="宋体" w:eastAsia="宋体" w:cs="宋体"/>
                      <w:color w:val="auto"/>
                      <w:kern w:val="0"/>
                      <w:sz w:val="21"/>
                      <w:szCs w:val="21"/>
                      <w:highlight w:val="none"/>
                    </w:rPr>
                    <w:t>cm；</w:t>
                  </w:r>
                  <w:r>
                    <w:rPr>
                      <w:rFonts w:hint="eastAsia" w:ascii="宋体" w:hAnsi="宋体" w:eastAsia="宋体" w:cs="宋体"/>
                      <w:i/>
                      <w:iCs/>
                      <w:color w:val="auto"/>
                      <w:kern w:val="0"/>
                      <w:sz w:val="21"/>
                      <w:szCs w:val="21"/>
                      <w:highlight w:val="none"/>
                    </w:rPr>
                    <w:t>TVL</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31</w:t>
                  </w:r>
                  <w:r>
                    <w:rPr>
                      <w:rFonts w:hint="eastAsia" w:ascii="宋体" w:hAnsi="宋体" w:eastAsia="宋体" w:cs="宋体"/>
                      <w:color w:val="auto"/>
                      <w:kern w:val="0"/>
                      <w:sz w:val="21"/>
                      <w:szCs w:val="21"/>
                      <w:highlight w:val="none"/>
                    </w:rPr>
                    <w:t>cm；</w:t>
                  </w:r>
                  <w:r>
                    <w:rPr>
                      <w:rFonts w:hint="eastAsia" w:ascii="宋体" w:hAnsi="宋体" w:eastAsia="宋体" w:cs="宋体"/>
                      <w:i/>
                      <w:iCs/>
                      <w:color w:val="auto"/>
                      <w:kern w:val="0"/>
                      <w:sz w:val="21"/>
                      <w:szCs w:val="21"/>
                      <w:highlight w:val="none"/>
                    </w:rPr>
                    <w:t>X</w:t>
                  </w:r>
                  <w:r>
                    <w:rPr>
                      <w:rFonts w:hint="eastAsia" w:ascii="宋体" w:hAnsi="宋体" w:eastAsia="宋体" w:cs="宋体"/>
                      <w:color w:val="auto"/>
                      <w:kern w:val="0"/>
                      <w:sz w:val="21"/>
                      <w:szCs w:val="21"/>
                      <w:highlight w:val="none"/>
                    </w:rPr>
                    <w:t>=</w:t>
                  </w:r>
                  <w:r>
                    <w:rPr>
                      <w:rFonts w:hint="eastAsia" w:ascii="宋体" w:hAnsi="宋体" w:eastAsia="宋体" w:cs="宋体"/>
                      <w:i/>
                      <w:iCs/>
                      <w:color w:val="auto"/>
                      <w:kern w:val="0"/>
                      <w:sz w:val="21"/>
                      <w:szCs w:val="21"/>
                      <w:highlight w:val="none"/>
                    </w:rPr>
                    <w:t>Xe/cos</w:t>
                  </w:r>
                  <w:r>
                    <w:rPr>
                      <w:rFonts w:hint="eastAsia" w:ascii="宋体" w:hAnsi="宋体" w:eastAsia="宋体" w:cs="宋体"/>
                      <w:color w:val="auto"/>
                      <w:kern w:val="0"/>
                      <w:sz w:val="21"/>
                      <w:szCs w:val="21"/>
                      <w:highlight w:val="none"/>
                    </w:rPr>
                    <w:t>30°=</w:t>
                  </w:r>
                  <w:r>
                    <w:rPr>
                      <w:rFonts w:hint="eastAsia" w:ascii="宋体" w:hAnsi="宋体" w:eastAsia="宋体" w:cs="宋体"/>
                      <w:color w:val="auto"/>
                      <w:kern w:val="0"/>
                      <w:sz w:val="21"/>
                      <w:szCs w:val="21"/>
                      <w:highlight w:val="none"/>
                      <w:lang w:val="en-US" w:eastAsia="zh-CN"/>
                    </w:rPr>
                    <w:t>196.3</w:t>
                  </w:r>
                  <w:r>
                    <w:rPr>
                      <w:rFonts w:hint="eastAsia" w:ascii="宋体" w:hAnsi="宋体" w:eastAsia="宋体" w:cs="宋体"/>
                      <w:color w:val="auto"/>
                      <w:kern w:val="0"/>
                      <w:sz w:val="21"/>
                      <w:szCs w:val="21"/>
                      <w:highlight w:val="none"/>
                    </w:rPr>
                    <w:t>cm；</w:t>
                  </w:r>
                  <w:r>
                    <w:rPr>
                      <w:rFonts w:hint="eastAsia" w:ascii="宋体" w:hAnsi="宋体" w:eastAsia="宋体" w:cs="宋体"/>
                      <w:color w:val="auto"/>
                      <w:kern w:val="0"/>
                      <w:position w:val="-6"/>
                      <w:sz w:val="21"/>
                      <w:szCs w:val="21"/>
                      <w:highlight w:val="none"/>
                    </w:rPr>
                    <w:object>
                      <v:shape id="_x0000_i1069" o:spt="75" type="#_x0000_t75" style="height:12pt;width:94.15pt;" o:ole="t" filled="f" o:preferrelative="t" stroked="f" coordsize="21600,21600">
                        <v:path/>
                        <v:fill on="f" focussize="0,0"/>
                        <v:stroke on="f" joinstyle="miter"/>
                        <v:imagedata r:id="rId28" o:title=""/>
                        <o:lock v:ext="edit" aspectratio="t"/>
                        <w10:wrap type="none"/>
                        <w10:anchorlock/>
                      </v:shape>
                      <o:OLEObject Type="Embed" ProgID="Equations" ShapeID="_x0000_i1069" DrawAspect="Content" ObjectID="_1468075769" r:id="rId85">
                        <o:LockedField>false</o:LockedField>
                      </o:OLEObject>
                    </w:object>
                  </w:r>
                  <w:r>
                    <w:rPr>
                      <w:rFonts w:hint="eastAsia" w:ascii="宋体" w:hAnsi="宋体" w:eastAsia="宋体" w:cs="宋体"/>
                      <w:color w:val="auto"/>
                      <w:kern w:val="0"/>
                      <w:position w:val="-6"/>
                      <w:sz w:val="21"/>
                      <w:szCs w:val="21"/>
                      <w:highlight w:val="none"/>
                    </w:rPr>
                    <w:t>=</w:t>
                  </w:r>
                  <w:r>
                    <w:rPr>
                      <w:rFonts w:hint="eastAsia" w:ascii="宋体" w:hAnsi="宋体" w:eastAsia="宋体" w:cs="宋体"/>
                      <w:color w:val="auto"/>
                      <w:kern w:val="0"/>
                      <w:position w:val="-6"/>
                      <w:sz w:val="21"/>
                      <w:szCs w:val="21"/>
                      <w:highlight w:val="none"/>
                      <w:lang w:val="en-US" w:eastAsia="zh-CN"/>
                    </w:rPr>
                    <w:t>6.26</w:t>
                  </w:r>
                  <w:r>
                    <w:rPr>
                      <w:rFonts w:hint="eastAsia" w:ascii="宋体" w:hAnsi="宋体" w:eastAsia="宋体" w:cs="宋体"/>
                      <w:color w:val="auto"/>
                      <w:kern w:val="0"/>
                      <w:position w:val="-6"/>
                      <w:sz w:val="21"/>
                      <w:szCs w:val="21"/>
                      <w:highlight w:val="none"/>
                    </w:rPr>
                    <w:t>×10</w:t>
                  </w:r>
                  <w:r>
                    <w:rPr>
                      <w:rFonts w:hint="eastAsia" w:ascii="宋体" w:hAnsi="宋体" w:eastAsia="宋体" w:cs="宋体"/>
                      <w:color w:val="auto"/>
                      <w:kern w:val="0"/>
                      <w:position w:val="-6"/>
                      <w:sz w:val="21"/>
                      <w:szCs w:val="21"/>
                      <w:highlight w:val="none"/>
                      <w:vertAlign w:val="superscript"/>
                    </w:rPr>
                    <w:t>-</w:t>
                  </w:r>
                  <w:r>
                    <w:rPr>
                      <w:rFonts w:hint="eastAsia" w:ascii="宋体" w:hAnsi="宋体" w:eastAsia="宋体" w:cs="宋体"/>
                      <w:color w:val="auto"/>
                      <w:kern w:val="0"/>
                      <w:position w:val="-6"/>
                      <w:sz w:val="21"/>
                      <w:szCs w:val="21"/>
                      <w:highlight w:val="none"/>
                      <w:vertAlign w:val="superscript"/>
                      <w:lang w:val="en-US" w:eastAsia="zh-CN"/>
                    </w:rPr>
                    <w:t>7</w:t>
                  </w:r>
                </w:p>
              </w:tc>
              <w:tc>
                <w:tcPr>
                  <w:tcW w:w="1080" w:type="dxa"/>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0.009</w:t>
                  </w:r>
                </w:p>
              </w:tc>
              <w:tc>
                <w:tcPr>
                  <w:tcW w:w="879" w:type="dxa"/>
                  <w:vMerge w:val="restart"/>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rPr>
                    <w:t>合计：</w:t>
                  </w:r>
                  <w:r>
                    <w:rPr>
                      <w:rFonts w:hint="eastAsia" w:ascii="宋体" w:hAnsi="宋体" w:eastAsia="宋体" w:cs="宋体"/>
                      <w:color w:val="auto"/>
                      <w:kern w:val="0"/>
                      <w:sz w:val="21"/>
                      <w:szCs w:val="21"/>
                      <w:highlight w:val="none"/>
                      <w:lang w:val="en-US" w:eastAsia="zh-CN"/>
                    </w:rPr>
                    <w:t>0.027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87" w:type="dxa"/>
                  <w:vMerge w:val="continue"/>
                  <w:tcBorders>
                    <w:tl2br w:val="nil"/>
                    <w:tr2bl w:val="nil"/>
                  </w:tcBorders>
                  <w:vAlign w:val="center"/>
                </w:tcPr>
                <w:p>
                  <w:pPr>
                    <w:spacing w:line="240" w:lineRule="auto"/>
                    <w:jc w:val="center"/>
                    <w:rPr>
                      <w:rFonts w:hint="eastAsia" w:ascii="宋体" w:hAnsi="宋体" w:eastAsia="宋体" w:cs="宋体"/>
                      <w:color w:val="0000FF"/>
                      <w:kern w:val="0"/>
                      <w:sz w:val="21"/>
                      <w:szCs w:val="21"/>
                      <w:highlight w:val="none"/>
                    </w:rPr>
                  </w:pPr>
                </w:p>
              </w:tc>
              <w:tc>
                <w:tcPr>
                  <w:tcW w:w="1286" w:type="dxa"/>
                  <w:vMerge w:val="continue"/>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rPr>
                  </w:pPr>
                </w:p>
              </w:tc>
              <w:tc>
                <w:tcPr>
                  <w:tcW w:w="1408" w:type="dxa"/>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散射辐射</w:t>
                  </w:r>
                </w:p>
              </w:tc>
              <w:tc>
                <w:tcPr>
                  <w:tcW w:w="3482" w:type="dxa"/>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position w:val="-6"/>
                      <w:sz w:val="21"/>
                      <w:szCs w:val="21"/>
                      <w:highlight w:val="none"/>
                    </w:rPr>
                    <w:object>
                      <v:shape id="_x0000_i1070" o:spt="75" type="#_x0000_t75" style="height:17.25pt;width:13.9pt;" o:ole="t" filled="f" o:preferrelative="t" stroked="f" coordsize="21600,21600">
                        <v:path/>
                        <v:fill on="f" focussize="0,0"/>
                        <v:stroke on="f" joinstyle="miter"/>
                        <v:imagedata r:id="rId56" o:title=""/>
                        <o:lock v:ext="edit" aspectratio="t"/>
                        <w10:wrap type="none"/>
                        <w10:anchorlock/>
                      </v:shape>
                      <o:OLEObject Type="Embed" ProgID="Equation.KSEE3" ShapeID="_x0000_i1070" DrawAspect="Content" ObjectID="_1468075770" r:id="rId86">
                        <o:LockedField>false</o:LockedField>
                      </o:OLEObject>
                    </w:objec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3.6</w:t>
                  </w:r>
                  <w:r>
                    <w:rPr>
                      <w:rFonts w:hint="eastAsia" w:ascii="宋体" w:hAnsi="宋体" w:eastAsia="宋体" w:cs="宋体"/>
                      <w:color w:val="auto"/>
                      <w:kern w:val="0"/>
                      <w:sz w:val="21"/>
                      <w:szCs w:val="21"/>
                      <w:highlight w:val="none"/>
                    </w:rPr>
                    <w:t>×10</w:t>
                  </w:r>
                  <w:r>
                    <w:rPr>
                      <w:rFonts w:hint="eastAsia" w:ascii="宋体" w:hAnsi="宋体" w:eastAsia="宋体" w:cs="宋体"/>
                      <w:color w:val="auto"/>
                      <w:kern w:val="0"/>
                      <w:sz w:val="21"/>
                      <w:szCs w:val="21"/>
                      <w:highlight w:val="none"/>
                      <w:vertAlign w:val="superscript"/>
                    </w:rPr>
                    <w:t>8</w:t>
                  </w:r>
                  <w:r>
                    <w:rPr>
                      <w:rFonts w:hint="eastAsia" w:ascii="宋体" w:hAnsi="宋体" w:eastAsia="宋体" w:cs="宋体"/>
                      <w:color w:val="auto"/>
                      <w:kern w:val="0"/>
                      <w:sz w:val="21"/>
                      <w:szCs w:val="21"/>
                      <w:highlight w:val="none"/>
                    </w:rPr>
                    <w:t>μSv·m</w:t>
                  </w:r>
                  <w:r>
                    <w:rPr>
                      <w:rFonts w:hint="eastAsia" w:ascii="宋体" w:hAnsi="宋体" w:eastAsia="宋体" w:cs="宋体"/>
                      <w:color w:val="auto"/>
                      <w:kern w:val="0"/>
                      <w:sz w:val="21"/>
                      <w:szCs w:val="21"/>
                      <w:highlight w:val="none"/>
                      <w:vertAlign w:val="superscript"/>
                    </w:rPr>
                    <w:t>2</w:t>
                  </w:r>
                  <w:r>
                    <w:rPr>
                      <w:rFonts w:hint="eastAsia" w:ascii="宋体" w:hAnsi="宋体" w:eastAsia="宋体" w:cs="宋体"/>
                      <w:color w:val="auto"/>
                      <w:kern w:val="0"/>
                      <w:sz w:val="21"/>
                      <w:szCs w:val="21"/>
                      <w:highlight w:val="none"/>
                    </w:rPr>
                    <w:t>·h</w:t>
                  </w:r>
                  <w:r>
                    <w:rPr>
                      <w:rFonts w:hint="eastAsia" w:ascii="宋体" w:hAnsi="宋体" w:eastAsia="宋体" w:cs="宋体"/>
                      <w:color w:val="auto"/>
                      <w:kern w:val="0"/>
                      <w:sz w:val="21"/>
                      <w:szCs w:val="21"/>
                      <w:highlight w:val="none"/>
                      <w:vertAlign w:val="superscript"/>
                    </w:rPr>
                    <w:t>-1</w:t>
                  </w:r>
                  <w:r>
                    <w:rPr>
                      <w:rFonts w:hint="eastAsia" w:ascii="宋体" w:hAnsi="宋体" w:eastAsia="宋体" w:cs="宋体"/>
                      <w:color w:val="auto"/>
                      <w:kern w:val="0"/>
                      <w:sz w:val="21"/>
                      <w:szCs w:val="21"/>
                      <w:highlight w:val="none"/>
                    </w:rPr>
                    <w:t>；</w:t>
                  </w:r>
                  <w:r>
                    <w:rPr>
                      <w:rFonts w:hint="eastAsia" w:ascii="宋体" w:hAnsi="宋体" w:eastAsia="宋体" w:cs="宋体"/>
                      <w:i/>
                      <w:iCs/>
                      <w:color w:val="auto"/>
                      <w:kern w:val="0"/>
                      <w:sz w:val="21"/>
                      <w:szCs w:val="21"/>
                      <w:highlight w:val="none"/>
                    </w:rPr>
                    <w:t>α</w:t>
                  </w:r>
                  <w:r>
                    <w:rPr>
                      <w:rFonts w:hint="eastAsia" w:ascii="宋体" w:hAnsi="宋体" w:eastAsia="宋体" w:cs="宋体"/>
                      <w:color w:val="auto"/>
                      <w:kern w:val="0"/>
                      <w:sz w:val="21"/>
                      <w:szCs w:val="21"/>
                      <w:highlight w:val="none"/>
                      <w:vertAlign w:val="subscript"/>
                    </w:rPr>
                    <w:t>ph</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3.18</w:t>
                  </w:r>
                  <w:r>
                    <w:rPr>
                      <w:rFonts w:hint="eastAsia" w:ascii="宋体" w:hAnsi="宋体" w:eastAsia="宋体" w:cs="宋体"/>
                      <w:color w:val="auto"/>
                      <w:kern w:val="0"/>
                      <w:sz w:val="21"/>
                      <w:szCs w:val="21"/>
                      <w:highlight w:val="none"/>
                    </w:rPr>
                    <w:t>×10</w:t>
                  </w:r>
                  <w:r>
                    <w:rPr>
                      <w:rFonts w:hint="eastAsia" w:ascii="宋体" w:hAnsi="宋体" w:eastAsia="宋体" w:cs="宋体"/>
                      <w:color w:val="auto"/>
                      <w:kern w:val="0"/>
                      <w:sz w:val="21"/>
                      <w:szCs w:val="21"/>
                      <w:highlight w:val="none"/>
                      <w:vertAlign w:val="superscript"/>
                    </w:rPr>
                    <w:t>-3</w:t>
                  </w:r>
                  <w:r>
                    <w:rPr>
                      <w:rFonts w:hint="eastAsia" w:ascii="宋体" w:hAnsi="宋体" w:eastAsia="宋体" w:cs="宋体"/>
                      <w:color w:val="auto"/>
                      <w:kern w:val="0"/>
                      <w:sz w:val="21"/>
                      <w:szCs w:val="21"/>
                      <w:highlight w:val="none"/>
                    </w:rPr>
                    <w:t>；</w:t>
                  </w:r>
                  <w:r>
                    <w:rPr>
                      <w:rFonts w:hint="eastAsia" w:ascii="宋体" w:hAnsi="宋体" w:eastAsia="宋体" w:cs="宋体"/>
                      <w:i/>
                      <w:iCs/>
                      <w:color w:val="auto"/>
                      <w:kern w:val="0"/>
                      <w:sz w:val="21"/>
                      <w:szCs w:val="21"/>
                      <w:highlight w:val="none"/>
                    </w:rPr>
                    <w:t>TVL</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lang w:val="en-US" w:eastAsia="zh-CN"/>
                    </w:rPr>
                    <w:t>28</w:t>
                  </w:r>
                  <w:r>
                    <w:rPr>
                      <w:rFonts w:hint="eastAsia" w:ascii="宋体" w:hAnsi="宋体" w:eastAsia="宋体" w:cs="宋体"/>
                      <w:color w:val="auto"/>
                      <w:kern w:val="0"/>
                      <w:sz w:val="21"/>
                      <w:szCs w:val="21"/>
                      <w:highlight w:val="none"/>
                    </w:rPr>
                    <w:t>cm；</w:t>
                  </w:r>
                </w:p>
                <w:p>
                  <w:pPr>
                    <w:spacing w:line="240" w:lineRule="auto"/>
                    <w:jc w:val="center"/>
                    <w:rPr>
                      <w:rFonts w:hint="eastAsia" w:ascii="宋体" w:hAnsi="宋体" w:eastAsia="宋体" w:cs="宋体"/>
                      <w:color w:val="auto"/>
                      <w:kern w:val="0"/>
                      <w:position w:val="-6"/>
                      <w:sz w:val="21"/>
                      <w:szCs w:val="21"/>
                      <w:highlight w:val="none"/>
                    </w:rPr>
                  </w:pPr>
                  <w:r>
                    <w:rPr>
                      <w:rFonts w:hint="eastAsia" w:ascii="宋体" w:hAnsi="宋体" w:eastAsia="宋体" w:cs="宋体"/>
                      <w:i/>
                      <w:iCs/>
                      <w:color w:val="auto"/>
                      <w:kern w:val="0"/>
                      <w:position w:val="-6"/>
                      <w:sz w:val="21"/>
                      <w:szCs w:val="21"/>
                      <w:highlight w:val="none"/>
                    </w:rPr>
                    <w:t>F</w:t>
                  </w:r>
                  <w:r>
                    <w:rPr>
                      <w:rFonts w:hint="eastAsia" w:ascii="宋体" w:hAnsi="宋体" w:eastAsia="宋体" w:cs="宋体"/>
                      <w:color w:val="auto"/>
                      <w:kern w:val="0"/>
                      <w:position w:val="-6"/>
                      <w:sz w:val="21"/>
                      <w:szCs w:val="21"/>
                      <w:highlight w:val="none"/>
                    </w:rPr>
                    <w:t>=40×40=1600cm</w:t>
                  </w:r>
                  <w:r>
                    <w:rPr>
                      <w:rFonts w:hint="eastAsia" w:ascii="宋体" w:hAnsi="宋体" w:eastAsia="宋体" w:cs="宋体"/>
                      <w:color w:val="auto"/>
                      <w:kern w:val="0"/>
                      <w:position w:val="-6"/>
                      <w:sz w:val="21"/>
                      <w:szCs w:val="21"/>
                      <w:highlight w:val="none"/>
                      <w:vertAlign w:val="superscript"/>
                    </w:rPr>
                    <w:t>2</w:t>
                  </w:r>
                  <w:r>
                    <w:rPr>
                      <w:rFonts w:hint="eastAsia" w:ascii="宋体" w:hAnsi="宋体" w:eastAsia="宋体" w:cs="宋体"/>
                      <w:color w:val="auto"/>
                      <w:kern w:val="0"/>
                      <w:position w:val="-6"/>
                      <w:sz w:val="21"/>
                      <w:szCs w:val="21"/>
                      <w:highlight w:val="none"/>
                    </w:rPr>
                    <w:t>；</w:t>
                  </w:r>
                </w:p>
                <w:p>
                  <w:pPr>
                    <w:spacing w:line="240" w:lineRule="auto"/>
                    <w:jc w:val="center"/>
                    <w:rPr>
                      <w:rFonts w:hint="eastAsia" w:ascii="宋体" w:hAnsi="宋体" w:eastAsia="宋体" w:cs="宋体"/>
                      <w:color w:val="auto"/>
                      <w:kern w:val="0"/>
                      <w:sz w:val="21"/>
                      <w:szCs w:val="21"/>
                      <w:highlight w:val="none"/>
                    </w:rPr>
                  </w:pPr>
                  <w:r>
                    <w:rPr>
                      <w:rFonts w:hint="eastAsia" w:ascii="宋体" w:hAnsi="宋体" w:eastAsia="宋体" w:cs="宋体"/>
                      <w:i/>
                      <w:iCs/>
                      <w:color w:val="auto"/>
                      <w:kern w:val="0"/>
                      <w:sz w:val="21"/>
                      <w:szCs w:val="21"/>
                      <w:highlight w:val="none"/>
                    </w:rPr>
                    <w:t>X</w:t>
                  </w:r>
                  <w:r>
                    <w:rPr>
                      <w:rFonts w:hint="eastAsia" w:ascii="宋体" w:hAnsi="宋体" w:eastAsia="宋体" w:cs="宋体"/>
                      <w:color w:val="auto"/>
                      <w:kern w:val="0"/>
                      <w:sz w:val="21"/>
                      <w:szCs w:val="21"/>
                      <w:highlight w:val="none"/>
                    </w:rPr>
                    <w:t>=</w:t>
                  </w:r>
                  <w:r>
                    <w:rPr>
                      <w:rFonts w:hint="eastAsia" w:ascii="宋体" w:hAnsi="宋体" w:eastAsia="宋体" w:cs="宋体"/>
                      <w:i/>
                      <w:iCs/>
                      <w:color w:val="auto"/>
                      <w:kern w:val="0"/>
                      <w:sz w:val="21"/>
                      <w:szCs w:val="21"/>
                      <w:highlight w:val="none"/>
                    </w:rPr>
                    <w:t>Xe/cos</w:t>
                  </w:r>
                  <w:r>
                    <w:rPr>
                      <w:rFonts w:hint="eastAsia" w:ascii="宋体" w:hAnsi="宋体" w:eastAsia="宋体" w:cs="宋体"/>
                      <w:color w:val="auto"/>
                      <w:kern w:val="0"/>
                      <w:sz w:val="21"/>
                      <w:szCs w:val="21"/>
                      <w:highlight w:val="none"/>
                    </w:rPr>
                    <w:t>30°</w:t>
                  </w:r>
                  <w:r>
                    <w:rPr>
                      <w:rFonts w:hint="eastAsia" w:ascii="宋体" w:hAnsi="宋体" w:eastAsia="宋体" w:cs="宋体"/>
                      <w:color w:val="auto"/>
                      <w:kern w:val="0"/>
                      <w:position w:val="-6"/>
                      <w:sz w:val="21"/>
                      <w:szCs w:val="21"/>
                      <w:highlight w:val="none"/>
                    </w:rPr>
                    <w:t>=</w:t>
                  </w:r>
                  <w:r>
                    <w:rPr>
                      <w:rFonts w:hint="eastAsia" w:ascii="宋体" w:hAnsi="宋体" w:eastAsia="宋体" w:cs="宋体"/>
                      <w:color w:val="auto"/>
                      <w:kern w:val="0"/>
                      <w:position w:val="-6"/>
                      <w:sz w:val="21"/>
                      <w:szCs w:val="21"/>
                      <w:highlight w:val="none"/>
                      <w:lang w:val="en-US" w:eastAsia="zh-CN"/>
                    </w:rPr>
                    <w:t>196.3</w:t>
                  </w:r>
                  <w:r>
                    <w:rPr>
                      <w:rFonts w:hint="eastAsia" w:ascii="宋体" w:hAnsi="宋体" w:eastAsia="宋体" w:cs="宋体"/>
                      <w:color w:val="auto"/>
                      <w:kern w:val="0"/>
                      <w:position w:val="-6"/>
                      <w:sz w:val="21"/>
                      <w:szCs w:val="21"/>
                      <w:highlight w:val="none"/>
                    </w:rPr>
                    <w:t>cm</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position w:val="-6"/>
                      <w:sz w:val="21"/>
                      <w:szCs w:val="21"/>
                      <w:highlight w:val="none"/>
                    </w:rPr>
                    <w:object>
                      <v:shape id="_x0000_i1071" o:spt="75" type="#_x0000_t75" style="height:11.25pt;width:93.75pt;" o:ole="t" filled="f" o:preferrelative="t" stroked="f" coordsize="21600,21600">
                        <v:path/>
                        <v:fill on="f" focussize="0,0"/>
                        <v:stroke on="f" joinstyle="miter"/>
                        <v:imagedata r:id="rId62" o:title=""/>
                        <o:lock v:ext="edit" aspectratio="t"/>
                        <w10:wrap type="none"/>
                        <w10:anchorlock/>
                      </v:shape>
                      <o:OLEObject Type="Embed" ProgID="Equations" ShapeID="_x0000_i1071" DrawAspect="Content" ObjectID="_1468075771" r:id="rId87">
                        <o:LockedField>false</o:LockedField>
                      </o:OLEObject>
                    </w:object>
                  </w:r>
                  <w:r>
                    <w:rPr>
                      <w:rFonts w:hint="eastAsia" w:ascii="宋体" w:hAnsi="宋体" w:eastAsia="宋体" w:cs="宋体"/>
                      <w:color w:val="auto"/>
                      <w:kern w:val="0"/>
                      <w:position w:val="-6"/>
                      <w:sz w:val="21"/>
                      <w:szCs w:val="21"/>
                      <w:highlight w:val="none"/>
                    </w:rPr>
                    <w:t>=</w:t>
                  </w:r>
                  <w:r>
                    <w:rPr>
                      <w:rFonts w:hint="eastAsia" w:ascii="宋体" w:hAnsi="宋体" w:eastAsia="宋体" w:cs="宋体"/>
                      <w:color w:val="auto"/>
                      <w:kern w:val="0"/>
                      <w:position w:val="-6"/>
                      <w:sz w:val="21"/>
                      <w:szCs w:val="21"/>
                      <w:highlight w:val="none"/>
                      <w:lang w:val="en-US" w:eastAsia="zh-CN"/>
                    </w:rPr>
                    <w:t>9.76</w:t>
                  </w:r>
                  <w:r>
                    <w:rPr>
                      <w:rFonts w:hint="eastAsia" w:ascii="宋体" w:hAnsi="宋体" w:eastAsia="宋体" w:cs="宋体"/>
                      <w:color w:val="auto"/>
                      <w:kern w:val="0"/>
                      <w:position w:val="-6"/>
                      <w:sz w:val="21"/>
                      <w:szCs w:val="21"/>
                      <w:highlight w:val="none"/>
                    </w:rPr>
                    <w:t>×10</w:t>
                  </w:r>
                  <w:r>
                    <w:rPr>
                      <w:rFonts w:hint="eastAsia" w:ascii="宋体" w:hAnsi="宋体" w:eastAsia="宋体" w:cs="宋体"/>
                      <w:color w:val="auto"/>
                      <w:kern w:val="0"/>
                      <w:position w:val="-6"/>
                      <w:sz w:val="21"/>
                      <w:szCs w:val="21"/>
                      <w:highlight w:val="none"/>
                      <w:vertAlign w:val="superscript"/>
                    </w:rPr>
                    <w:t>--</w:t>
                  </w:r>
                  <w:r>
                    <w:rPr>
                      <w:rFonts w:hint="eastAsia" w:ascii="宋体" w:hAnsi="宋体" w:eastAsia="宋体" w:cs="宋体"/>
                      <w:color w:val="auto"/>
                      <w:kern w:val="0"/>
                      <w:position w:val="-6"/>
                      <w:sz w:val="21"/>
                      <w:szCs w:val="21"/>
                      <w:highlight w:val="none"/>
                      <w:vertAlign w:val="superscript"/>
                      <w:lang w:val="en-US" w:eastAsia="zh-CN"/>
                    </w:rPr>
                    <w:t>8</w:t>
                  </w:r>
                  <w:r>
                    <w:rPr>
                      <w:rFonts w:hint="eastAsia" w:ascii="宋体" w:hAnsi="宋体" w:eastAsia="宋体" w:cs="宋体"/>
                      <w:color w:val="auto"/>
                      <w:kern w:val="0"/>
                      <w:position w:val="-6"/>
                      <w:sz w:val="21"/>
                      <w:szCs w:val="21"/>
                      <w:highlight w:val="none"/>
                    </w:rPr>
                    <w:t>；</w:t>
                  </w:r>
                  <w:r>
                    <w:rPr>
                      <w:rFonts w:hint="eastAsia" w:ascii="宋体" w:hAnsi="宋体" w:eastAsia="宋体" w:cs="宋体"/>
                      <w:i/>
                      <w:iCs/>
                      <w:color w:val="auto"/>
                      <w:kern w:val="0"/>
                      <w:position w:val="-6"/>
                      <w:sz w:val="21"/>
                      <w:szCs w:val="21"/>
                      <w:highlight w:val="none"/>
                    </w:rPr>
                    <w:t>Rs</w:t>
                  </w:r>
                  <w:r>
                    <w:rPr>
                      <w:rFonts w:hint="eastAsia" w:ascii="宋体" w:hAnsi="宋体" w:eastAsia="宋体" w:cs="宋体"/>
                      <w:color w:val="auto"/>
                      <w:kern w:val="0"/>
                      <w:position w:val="-6"/>
                      <w:sz w:val="21"/>
                      <w:szCs w:val="21"/>
                      <w:highlight w:val="none"/>
                    </w:rPr>
                    <w:t>=</w:t>
                  </w:r>
                  <w:r>
                    <w:rPr>
                      <w:rFonts w:hint="eastAsia" w:ascii="宋体" w:hAnsi="宋体" w:eastAsia="宋体" w:cs="宋体"/>
                      <w:color w:val="auto"/>
                      <w:kern w:val="0"/>
                      <w:position w:val="-6"/>
                      <w:sz w:val="21"/>
                      <w:szCs w:val="21"/>
                      <w:highlight w:val="none"/>
                      <w:lang w:val="en-US" w:eastAsia="zh-CN"/>
                    </w:rPr>
                    <w:t>4.95</w:t>
                  </w:r>
                  <w:r>
                    <w:rPr>
                      <w:rFonts w:hint="eastAsia" w:ascii="宋体" w:hAnsi="宋体" w:eastAsia="宋体" w:cs="宋体"/>
                      <w:color w:val="auto"/>
                      <w:kern w:val="0"/>
                      <w:position w:val="-6"/>
                      <w:sz w:val="21"/>
                      <w:szCs w:val="21"/>
                      <w:highlight w:val="none"/>
                    </w:rPr>
                    <w:t>m</w:t>
                  </w:r>
                </w:p>
              </w:tc>
              <w:tc>
                <w:tcPr>
                  <w:tcW w:w="1080" w:type="dxa"/>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rPr>
                    <w:t>0.0</w:t>
                  </w:r>
                  <w:r>
                    <w:rPr>
                      <w:rFonts w:hint="eastAsia" w:ascii="宋体" w:hAnsi="宋体" w:eastAsia="宋体" w:cs="宋体"/>
                      <w:color w:val="auto"/>
                      <w:kern w:val="0"/>
                      <w:sz w:val="21"/>
                      <w:szCs w:val="21"/>
                      <w:highlight w:val="none"/>
                      <w:lang w:val="en-US" w:eastAsia="zh-CN"/>
                    </w:rPr>
                    <w:t>18</w:t>
                  </w:r>
                </w:p>
              </w:tc>
              <w:tc>
                <w:tcPr>
                  <w:tcW w:w="879" w:type="dxa"/>
                  <w:vMerge w:val="continue"/>
                  <w:tcBorders>
                    <w:tl2br w:val="nil"/>
                    <w:tr2bl w:val="nil"/>
                  </w:tcBorders>
                  <w:vAlign w:val="center"/>
                </w:tcPr>
                <w:p>
                  <w:pPr>
                    <w:spacing w:line="240" w:lineRule="auto"/>
                    <w:jc w:val="center"/>
                    <w:rPr>
                      <w:rFonts w:hint="eastAsia" w:ascii="宋体" w:hAnsi="宋体" w:eastAsia="宋体" w:cs="宋体"/>
                      <w:color w:val="auto"/>
                      <w:kern w:val="0"/>
                      <w:sz w:val="21"/>
                      <w:szCs w:val="21"/>
                      <w:highlight w:val="none"/>
                    </w:rPr>
                  </w:pPr>
                </w:p>
              </w:tc>
            </w:tr>
          </w:tbl>
          <w:p>
            <w:pPr>
              <w:spacing w:line="360" w:lineRule="auto"/>
              <w:ind w:firstLine="480" w:firstLineChars="200"/>
              <w:jc w:val="both"/>
              <w:rPr>
                <w:rFonts w:hint="eastAsia" w:ascii="宋体" w:hAnsi="宋体" w:eastAsia="宋体" w:cs="宋体"/>
                <w:b w:val="0"/>
                <w:bCs w:val="0"/>
                <w:color w:val="auto"/>
                <w:kern w:val="0"/>
                <w:sz w:val="24"/>
                <w:highlight w:val="none"/>
                <w:lang w:val="en-US" w:eastAsia="zh-CN"/>
              </w:rPr>
            </w:pPr>
            <w:r>
              <w:rPr>
                <w:rFonts w:hint="eastAsia" w:ascii="宋体" w:hAnsi="宋体" w:eastAsia="宋体" w:cs="宋体"/>
                <w:b w:val="0"/>
                <w:bCs w:val="0"/>
                <w:color w:val="auto"/>
                <w:kern w:val="0"/>
                <w:sz w:val="24"/>
                <w:highlight w:val="none"/>
                <w:lang w:val="en-US" w:eastAsia="zh-CN"/>
              </w:rPr>
              <w:t>根据表11-4计算结果，各方向屏蔽体外的剂量率预测值与表11-2各方向剂量率控制限值进行对比，见表11-5。</w:t>
            </w:r>
          </w:p>
          <w:p>
            <w:pPr>
              <w:spacing w:line="240" w:lineRule="auto"/>
              <w:ind w:firstLine="422" w:firstLineChars="200"/>
              <w:jc w:val="center"/>
              <w:rPr>
                <w:rFonts w:hint="eastAsia" w:ascii="宋体" w:hAnsi="宋体" w:eastAsia="宋体" w:cs="宋体"/>
                <w:b/>
                <w:bCs/>
                <w:color w:val="auto"/>
                <w:sz w:val="21"/>
                <w:szCs w:val="21"/>
                <w:highlight w:val="none"/>
                <w:lang w:val="en-US"/>
              </w:rPr>
            </w:pPr>
            <w:r>
              <w:rPr>
                <w:rFonts w:hint="eastAsia" w:ascii="宋体" w:hAnsi="宋体" w:eastAsia="宋体" w:cs="宋体"/>
                <w:b/>
                <w:bCs/>
                <w:color w:val="auto"/>
                <w:kern w:val="0"/>
                <w:sz w:val="21"/>
                <w:szCs w:val="21"/>
                <w:highlight w:val="none"/>
              </w:rPr>
              <w:t>表11-</w:t>
            </w:r>
            <w:r>
              <w:rPr>
                <w:rFonts w:hint="eastAsia" w:ascii="宋体" w:hAnsi="宋体" w:eastAsia="宋体" w:cs="宋体"/>
                <w:b/>
                <w:bCs/>
                <w:color w:val="auto"/>
                <w:kern w:val="0"/>
                <w:sz w:val="21"/>
                <w:szCs w:val="21"/>
                <w:highlight w:val="none"/>
                <w:lang w:val="en-US" w:eastAsia="zh-CN"/>
              </w:rPr>
              <w:t>5</w:t>
            </w:r>
            <w:r>
              <w:rPr>
                <w:rFonts w:hint="eastAsia" w:ascii="宋体" w:hAnsi="宋体" w:eastAsia="宋体" w:cs="宋体"/>
                <w:b/>
                <w:bCs/>
                <w:color w:val="auto"/>
                <w:kern w:val="0"/>
                <w:sz w:val="21"/>
                <w:szCs w:val="21"/>
                <w:highlight w:val="none"/>
              </w:rPr>
              <w:t xml:space="preserve"> </w:t>
            </w:r>
            <w:r>
              <w:rPr>
                <w:rFonts w:hint="eastAsia" w:ascii="宋体" w:hAnsi="宋体" w:eastAsia="宋体" w:cs="宋体"/>
                <w:b/>
                <w:bCs/>
                <w:color w:val="auto"/>
                <w:kern w:val="0"/>
                <w:sz w:val="21"/>
                <w:szCs w:val="21"/>
                <w:highlight w:val="none"/>
                <w:lang w:val="en-US" w:eastAsia="zh-CN"/>
              </w:rPr>
              <w:t>加速器屏蔽体外剂量率达标情况判定</w:t>
            </w:r>
          </w:p>
          <w:tbl>
            <w:tblPr>
              <w:tblStyle w:val="1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9"/>
              <w:gridCol w:w="2782"/>
              <w:gridCol w:w="1590"/>
              <w:gridCol w:w="1817"/>
              <w:gridCol w:w="164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504" w:type="pct"/>
                  <w:tcBorders>
                    <w:tl2br w:val="nil"/>
                    <w:tr2bl w:val="nil"/>
                  </w:tcBorders>
                  <w:vAlign w:val="center"/>
                </w:tcPr>
                <w:p>
                  <w:pPr>
                    <w:spacing w:line="240" w:lineRule="auto"/>
                    <w:jc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项目</w:t>
                  </w:r>
                </w:p>
              </w:tc>
              <w:tc>
                <w:tcPr>
                  <w:tcW w:w="1596" w:type="pct"/>
                  <w:tcBorders>
                    <w:tl2br w:val="nil"/>
                    <w:tr2bl w:val="nil"/>
                  </w:tcBorders>
                  <w:vAlign w:val="center"/>
                </w:tcPr>
                <w:p>
                  <w:pPr>
                    <w:spacing w:line="240" w:lineRule="auto"/>
                    <w:jc w:val="center"/>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val="en-US" w:eastAsia="zh-CN"/>
                    </w:rPr>
                    <w:t>部位</w:t>
                  </w:r>
                </w:p>
              </w:tc>
              <w:tc>
                <w:tcPr>
                  <w:tcW w:w="912" w:type="pct"/>
                  <w:tcBorders>
                    <w:tl2br w:val="nil"/>
                    <w:tr2bl w:val="nil"/>
                  </w:tcBorders>
                  <w:vAlign w:val="center"/>
                </w:tcPr>
                <w:p>
                  <w:pPr>
                    <w:spacing w:line="240" w:lineRule="auto"/>
                    <w:jc w:val="center"/>
                    <w:rPr>
                      <w:rFonts w:hint="eastAsia" w:ascii="宋体" w:hAnsi="宋体" w:eastAsia="宋体" w:cs="宋体"/>
                      <w:b w:val="0"/>
                      <w:bCs w:val="0"/>
                      <w:color w:val="auto"/>
                      <w:sz w:val="21"/>
                      <w:szCs w:val="21"/>
                      <w:highlight w:val="none"/>
                    </w:rPr>
                  </w:pPr>
                  <w:r>
                    <w:rPr>
                      <w:rFonts w:hint="eastAsia" w:ascii="宋体" w:hAnsi="宋体" w:eastAsia="宋体" w:cs="宋体"/>
                      <w:color w:val="auto"/>
                      <w:kern w:val="0"/>
                      <w:sz w:val="21"/>
                      <w:szCs w:val="21"/>
                      <w:highlight w:val="none"/>
                    </w:rPr>
                    <w:t>辐射剂量率预测值</w:t>
                  </w:r>
                  <w:r>
                    <w:rPr>
                      <w:rFonts w:hint="eastAsia" w:ascii="宋体" w:hAnsi="宋体" w:eastAsia="宋体" w:cs="宋体"/>
                      <w:b w:val="0"/>
                      <w:bCs w:val="0"/>
                      <w:color w:val="auto"/>
                      <w:sz w:val="21"/>
                      <w:szCs w:val="21"/>
                      <w:highlight w:val="none"/>
                    </w:rPr>
                    <w:t>（μSv/h）</w:t>
                  </w:r>
                </w:p>
              </w:tc>
              <w:tc>
                <w:tcPr>
                  <w:tcW w:w="1042" w:type="pct"/>
                  <w:tcBorders>
                    <w:tl2br w:val="nil"/>
                    <w:tr2bl w:val="nil"/>
                  </w:tcBorders>
                  <w:vAlign w:val="center"/>
                </w:tcPr>
                <w:p>
                  <w:pPr>
                    <w:spacing w:line="240" w:lineRule="auto"/>
                    <w:jc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lang w:val="en-US" w:eastAsia="zh-CN"/>
                    </w:rPr>
                    <w:t>剂量率控制限值</w:t>
                  </w:r>
                  <w:r>
                    <w:rPr>
                      <w:rFonts w:hint="eastAsia" w:ascii="宋体" w:hAnsi="宋体" w:eastAsia="宋体" w:cs="宋体"/>
                      <w:b w:val="0"/>
                      <w:bCs w:val="0"/>
                      <w:color w:val="auto"/>
                      <w:sz w:val="21"/>
                      <w:szCs w:val="21"/>
                      <w:highlight w:val="none"/>
                    </w:rPr>
                    <w:t>（μSv/h）</w:t>
                  </w:r>
                </w:p>
              </w:tc>
              <w:tc>
                <w:tcPr>
                  <w:tcW w:w="944" w:type="pct"/>
                  <w:tcBorders>
                    <w:tl2br w:val="nil"/>
                    <w:tr2bl w:val="nil"/>
                  </w:tcBorders>
                  <w:vAlign w:val="center"/>
                </w:tcPr>
                <w:p>
                  <w:pPr>
                    <w:spacing w:line="240" w:lineRule="auto"/>
                    <w:jc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是否满足限值要求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04" w:type="pct"/>
                  <w:vMerge w:val="restar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10MV加速器</w:t>
                  </w:r>
                </w:p>
              </w:tc>
              <w:tc>
                <w:tcPr>
                  <w:tcW w:w="1596"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1#东侧主屏蔽外30cm</w:t>
                  </w:r>
                </w:p>
              </w:tc>
              <w:tc>
                <w:tcPr>
                  <w:tcW w:w="912"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kern w:val="0"/>
                      <w:sz w:val="21"/>
                      <w:szCs w:val="21"/>
                      <w:highlight w:val="none"/>
                      <w:lang w:val="en-US" w:eastAsia="zh-CN"/>
                    </w:rPr>
                    <w:t>0.113</w:t>
                  </w:r>
                </w:p>
              </w:tc>
              <w:tc>
                <w:tcPr>
                  <w:tcW w:w="1042"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w:t>
                  </w:r>
                </w:p>
              </w:tc>
              <w:tc>
                <w:tcPr>
                  <w:tcW w:w="944"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满足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04" w:type="pct"/>
                  <w:vMerge w:val="continue"/>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p>
              </w:tc>
              <w:tc>
                <w:tcPr>
                  <w:tcW w:w="1596"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2#东侧次屏蔽外30cm</w:t>
                  </w:r>
                </w:p>
              </w:tc>
              <w:tc>
                <w:tcPr>
                  <w:tcW w:w="912"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0.012</w:t>
                  </w:r>
                </w:p>
              </w:tc>
              <w:tc>
                <w:tcPr>
                  <w:tcW w:w="1042"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944"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满足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04" w:type="pct"/>
                  <w:vMerge w:val="continue"/>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p>
              </w:tc>
              <w:tc>
                <w:tcPr>
                  <w:tcW w:w="1596"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3#北侧屏蔽墙外30cm</w:t>
                  </w:r>
                </w:p>
              </w:tc>
              <w:tc>
                <w:tcPr>
                  <w:tcW w:w="912"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kern w:val="0"/>
                      <w:sz w:val="21"/>
                      <w:szCs w:val="21"/>
                      <w:highlight w:val="none"/>
                      <w:lang w:val="en-US" w:eastAsia="zh-CN"/>
                    </w:rPr>
                    <w:t>0.232</w:t>
                  </w:r>
                </w:p>
              </w:tc>
              <w:tc>
                <w:tcPr>
                  <w:tcW w:w="1042"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c>
                <w:tcPr>
                  <w:tcW w:w="944"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满足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04" w:type="pct"/>
                  <w:vMerge w:val="continue"/>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p>
              </w:tc>
              <w:tc>
                <w:tcPr>
                  <w:tcW w:w="1596" w:type="pct"/>
                  <w:tcBorders>
                    <w:tl2br w:val="nil"/>
                    <w:tr2bl w:val="nil"/>
                  </w:tcBorders>
                  <w:vAlign w:val="center"/>
                </w:tcPr>
                <w:p>
                  <w:pPr>
                    <w:spacing w:line="240" w:lineRule="auto"/>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4#西侧主屏蔽外30cm</w:t>
                  </w:r>
                </w:p>
              </w:tc>
              <w:tc>
                <w:tcPr>
                  <w:tcW w:w="912" w:type="pct"/>
                  <w:tcBorders>
                    <w:tl2br w:val="nil"/>
                    <w:tr2bl w:val="nil"/>
                  </w:tcBorders>
                  <w:vAlign w:val="center"/>
                </w:tcPr>
                <w:p>
                  <w:pPr>
                    <w:spacing w:line="240" w:lineRule="auto"/>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0.113</w:t>
                  </w:r>
                </w:p>
              </w:tc>
              <w:tc>
                <w:tcPr>
                  <w:tcW w:w="1042" w:type="pct"/>
                  <w:tcBorders>
                    <w:tl2br w:val="nil"/>
                    <w:tr2bl w:val="nil"/>
                  </w:tcBorders>
                  <w:vAlign w:val="center"/>
                </w:tcPr>
                <w:p>
                  <w:pPr>
                    <w:spacing w:line="240" w:lineRule="auto"/>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10</w:t>
                  </w:r>
                </w:p>
              </w:tc>
              <w:tc>
                <w:tcPr>
                  <w:tcW w:w="944" w:type="pct"/>
                  <w:tcBorders>
                    <w:tl2br w:val="nil"/>
                    <w:tr2bl w:val="nil"/>
                  </w:tcBorders>
                  <w:vAlign w:val="center"/>
                </w:tcPr>
                <w:p>
                  <w:pPr>
                    <w:spacing w:line="240" w:lineRule="auto"/>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满足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04" w:type="pct"/>
                  <w:vMerge w:val="continue"/>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p>
              </w:tc>
              <w:tc>
                <w:tcPr>
                  <w:tcW w:w="1596" w:type="pct"/>
                  <w:tcBorders>
                    <w:tl2br w:val="nil"/>
                    <w:tr2bl w:val="nil"/>
                  </w:tcBorders>
                  <w:vAlign w:val="center"/>
                </w:tcPr>
                <w:p>
                  <w:pPr>
                    <w:spacing w:line="240" w:lineRule="auto"/>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5#西侧次屏蔽外30cm</w:t>
                  </w:r>
                </w:p>
              </w:tc>
              <w:tc>
                <w:tcPr>
                  <w:tcW w:w="912" w:type="pct"/>
                  <w:tcBorders>
                    <w:tl2br w:val="nil"/>
                    <w:tr2bl w:val="nil"/>
                  </w:tcBorders>
                  <w:vAlign w:val="center"/>
                </w:tcPr>
                <w:p>
                  <w:pPr>
                    <w:spacing w:line="240" w:lineRule="auto"/>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0.012</w:t>
                  </w:r>
                </w:p>
              </w:tc>
              <w:tc>
                <w:tcPr>
                  <w:tcW w:w="1042" w:type="pct"/>
                  <w:tcBorders>
                    <w:tl2br w:val="nil"/>
                    <w:tr2bl w:val="nil"/>
                  </w:tcBorders>
                  <w:vAlign w:val="center"/>
                </w:tcPr>
                <w:p>
                  <w:pPr>
                    <w:spacing w:line="240" w:lineRule="auto"/>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w:t>
                  </w:r>
                </w:p>
              </w:tc>
              <w:tc>
                <w:tcPr>
                  <w:tcW w:w="944" w:type="pct"/>
                  <w:tcBorders>
                    <w:tl2br w:val="nil"/>
                    <w:tr2bl w:val="nil"/>
                  </w:tcBorders>
                  <w:vAlign w:val="center"/>
                </w:tcPr>
                <w:p>
                  <w:pPr>
                    <w:spacing w:line="240" w:lineRule="auto"/>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满足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04" w:type="pct"/>
                  <w:vMerge w:val="continue"/>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p>
              </w:tc>
              <w:tc>
                <w:tcPr>
                  <w:tcW w:w="1596"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6#南侧屏蔽墙外30cm</w:t>
                  </w:r>
                </w:p>
              </w:tc>
              <w:tc>
                <w:tcPr>
                  <w:tcW w:w="912"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0.011</w:t>
                  </w:r>
                </w:p>
              </w:tc>
              <w:tc>
                <w:tcPr>
                  <w:tcW w:w="1042"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c>
                <w:tcPr>
                  <w:tcW w:w="944"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满足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04" w:type="pct"/>
                  <w:vMerge w:val="continue"/>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p>
              </w:tc>
              <w:tc>
                <w:tcPr>
                  <w:tcW w:w="1596"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7#屏蔽门外30cm</w:t>
                  </w:r>
                </w:p>
              </w:tc>
              <w:tc>
                <w:tcPr>
                  <w:tcW w:w="912"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0.160</w:t>
                  </w:r>
                </w:p>
              </w:tc>
              <w:tc>
                <w:tcPr>
                  <w:tcW w:w="1042"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0.4</w:t>
                  </w:r>
                </w:p>
              </w:tc>
              <w:tc>
                <w:tcPr>
                  <w:tcW w:w="944"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满足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04" w:type="pct"/>
                  <w:vMerge w:val="continue"/>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p>
              </w:tc>
              <w:tc>
                <w:tcPr>
                  <w:tcW w:w="1596"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8#迷道外墙外30cm</w:t>
                  </w:r>
                </w:p>
              </w:tc>
              <w:tc>
                <w:tcPr>
                  <w:tcW w:w="912"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0.011</w:t>
                  </w:r>
                </w:p>
              </w:tc>
              <w:tc>
                <w:tcPr>
                  <w:tcW w:w="1042"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c>
                <w:tcPr>
                  <w:tcW w:w="944"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满足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04" w:type="pct"/>
                  <w:vMerge w:val="continue"/>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p>
              </w:tc>
              <w:tc>
                <w:tcPr>
                  <w:tcW w:w="1596"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9#屋顶主屏蔽外30cm</w:t>
                  </w:r>
                </w:p>
              </w:tc>
              <w:tc>
                <w:tcPr>
                  <w:tcW w:w="912"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0.210</w:t>
                  </w:r>
                </w:p>
              </w:tc>
              <w:tc>
                <w:tcPr>
                  <w:tcW w:w="1042"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100</w:t>
                  </w:r>
                </w:p>
              </w:tc>
              <w:tc>
                <w:tcPr>
                  <w:tcW w:w="944"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满足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04" w:type="pct"/>
                  <w:vMerge w:val="continue"/>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p>
              </w:tc>
              <w:tc>
                <w:tcPr>
                  <w:tcW w:w="1596"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10#屋顶次屏蔽外30cm</w:t>
                  </w:r>
                </w:p>
              </w:tc>
              <w:tc>
                <w:tcPr>
                  <w:tcW w:w="912"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0.027</w:t>
                  </w:r>
                </w:p>
              </w:tc>
              <w:tc>
                <w:tcPr>
                  <w:tcW w:w="1042"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100</w:t>
                  </w:r>
                </w:p>
              </w:tc>
              <w:tc>
                <w:tcPr>
                  <w:tcW w:w="944" w:type="pct"/>
                  <w:tcBorders>
                    <w:tl2br w:val="nil"/>
                    <w:tr2bl w:val="nil"/>
                  </w:tcBorders>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满足</w:t>
                  </w:r>
                </w:p>
              </w:tc>
            </w:tr>
          </w:tbl>
          <w:p>
            <w:pPr>
              <w:spacing w:line="360" w:lineRule="auto"/>
              <w:ind w:firstLine="480"/>
              <w:rPr>
                <w:rFonts w:hint="eastAsia" w:ascii="宋体" w:hAnsi="宋体" w:eastAsia="宋体" w:cs="宋体"/>
                <w:color w:val="auto"/>
                <w:kern w:val="0"/>
                <w:sz w:val="24"/>
                <w:highlight w:val="none"/>
                <w:vertAlign w:val="superscript"/>
              </w:rPr>
            </w:pPr>
            <w:r>
              <w:rPr>
                <w:rFonts w:hint="eastAsia" w:ascii="宋体" w:hAnsi="宋体" w:eastAsia="宋体" w:cs="宋体"/>
                <w:color w:val="auto"/>
                <w:sz w:val="24"/>
                <w:highlight w:val="none"/>
              </w:rPr>
              <w:t>由表11-</w:t>
            </w:r>
            <w:r>
              <w:rPr>
                <w:rFonts w:hint="eastAsia" w:ascii="宋体" w:hAnsi="宋体" w:eastAsia="宋体" w:cs="宋体"/>
                <w:color w:val="auto"/>
                <w:sz w:val="24"/>
                <w:highlight w:val="none"/>
                <w:lang w:val="en-US" w:eastAsia="zh-CN"/>
              </w:rPr>
              <w:t>5</w:t>
            </w:r>
            <w:r>
              <w:rPr>
                <w:rFonts w:hint="eastAsia" w:ascii="宋体" w:hAnsi="宋体" w:eastAsia="宋体" w:cs="宋体"/>
                <w:color w:val="auto"/>
                <w:sz w:val="24"/>
                <w:highlight w:val="none"/>
              </w:rPr>
              <w:t>可知，机房屏蔽墙外剂量率均低于</w:t>
            </w:r>
            <w:r>
              <w:rPr>
                <w:rFonts w:hint="eastAsia" w:ascii="宋体" w:hAnsi="宋体" w:eastAsia="宋体" w:cs="宋体"/>
                <w:color w:val="auto"/>
                <w:sz w:val="24"/>
                <w:highlight w:val="none"/>
                <w:lang w:eastAsia="zh-CN"/>
              </w:rPr>
              <w:t>《放射治疗放射防护要求》（GBZ121-2020）</w:t>
            </w:r>
            <w:r>
              <w:rPr>
                <w:rFonts w:hint="eastAsia" w:ascii="宋体" w:hAnsi="宋体" w:eastAsia="宋体" w:cs="宋体"/>
                <w:color w:val="auto"/>
                <w:sz w:val="24"/>
                <w:highlight w:val="none"/>
              </w:rPr>
              <w:t>中周围剂量当量率控制水平</w:t>
            </w:r>
            <w:r>
              <w:rPr>
                <w:rFonts w:hint="eastAsia" w:ascii="宋体" w:hAnsi="宋体" w:eastAsia="宋体" w:cs="宋体"/>
                <w:color w:val="auto"/>
                <w:kern w:val="0"/>
                <w:sz w:val="24"/>
                <w:highlight w:val="none"/>
              </w:rPr>
              <w:t>的要求。</w:t>
            </w:r>
          </w:p>
          <w:p>
            <w:pPr>
              <w:spacing w:line="360" w:lineRule="auto"/>
              <w:ind w:firstLine="480" w:firstLineChars="200"/>
              <w:jc w:val="left"/>
              <w:rPr>
                <w:rFonts w:hint="eastAsia" w:ascii="宋体" w:hAnsi="宋体" w:eastAsia="宋体" w:cs="宋体"/>
                <w:iCs/>
                <w:color w:val="auto"/>
                <w:kern w:val="0"/>
                <w:sz w:val="24"/>
                <w:highlight w:val="none"/>
              </w:rPr>
            </w:pPr>
            <w:r>
              <w:rPr>
                <w:rFonts w:hint="eastAsia" w:ascii="宋体" w:hAnsi="宋体" w:eastAsia="宋体" w:cs="宋体"/>
                <w:iCs/>
                <w:color w:val="auto"/>
                <w:kern w:val="0"/>
                <w:sz w:val="24"/>
                <w:highlight w:val="none"/>
                <w:lang w:eastAsia="zh-CN"/>
              </w:rPr>
              <w:t>（</w:t>
            </w:r>
            <w:r>
              <w:rPr>
                <w:rFonts w:hint="eastAsia" w:ascii="宋体" w:hAnsi="宋体" w:eastAsia="宋体" w:cs="宋体"/>
                <w:iCs/>
                <w:color w:val="auto"/>
                <w:kern w:val="0"/>
                <w:sz w:val="24"/>
                <w:highlight w:val="none"/>
                <w:lang w:val="en-US" w:eastAsia="zh-CN"/>
              </w:rPr>
              <w:t>4</w:t>
            </w:r>
            <w:r>
              <w:rPr>
                <w:rFonts w:hint="eastAsia" w:ascii="宋体" w:hAnsi="宋体" w:eastAsia="宋体" w:cs="宋体"/>
                <w:iCs/>
                <w:color w:val="auto"/>
                <w:kern w:val="0"/>
                <w:sz w:val="24"/>
                <w:highlight w:val="none"/>
                <w:lang w:eastAsia="zh-CN"/>
              </w:rPr>
              <w:t>）</w:t>
            </w:r>
            <w:r>
              <w:rPr>
                <w:rFonts w:hint="eastAsia" w:ascii="宋体" w:hAnsi="宋体" w:eastAsia="宋体" w:cs="宋体"/>
                <w:iCs/>
                <w:color w:val="auto"/>
                <w:kern w:val="0"/>
                <w:sz w:val="24"/>
                <w:highlight w:val="none"/>
              </w:rPr>
              <w:t>职业人员、公众年有效剂量</w:t>
            </w:r>
          </w:p>
          <w:p>
            <w:pPr>
              <w:spacing w:line="360" w:lineRule="auto"/>
              <w:ind w:firstLine="480" w:firstLineChars="200"/>
              <w:jc w:val="left"/>
              <w:rPr>
                <w:rFonts w:hint="eastAsia" w:ascii="宋体" w:hAnsi="宋体" w:eastAsia="宋体" w:cs="宋体"/>
                <w:iCs/>
                <w:color w:val="auto"/>
                <w:kern w:val="0"/>
                <w:sz w:val="24"/>
                <w:highlight w:val="none"/>
                <w:lang w:eastAsia="zh-CN"/>
              </w:rPr>
            </w:pPr>
            <w:r>
              <w:rPr>
                <w:rFonts w:hint="eastAsia" w:ascii="宋体" w:hAnsi="宋体" w:eastAsia="宋体" w:cs="宋体"/>
                <w:iCs/>
                <w:color w:val="auto"/>
                <w:kern w:val="0"/>
                <w:sz w:val="24"/>
                <w:highlight w:val="none"/>
                <w:lang w:eastAsia="zh-CN"/>
              </w:rPr>
              <w:t>1)工作人员年附加剂量</w:t>
            </w:r>
          </w:p>
          <w:p>
            <w:pPr>
              <w:spacing w:line="360" w:lineRule="auto"/>
              <w:ind w:firstLine="480" w:firstLineChars="200"/>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根据医院情况，直线加速器每周的治疗时间</w:t>
            </w:r>
            <w:r>
              <w:rPr>
                <w:rFonts w:hint="eastAsia" w:ascii="宋体" w:hAnsi="宋体" w:eastAsia="宋体" w:cs="宋体"/>
                <w:color w:val="auto"/>
                <w:sz w:val="24"/>
                <w:highlight w:val="none"/>
                <w:lang w:val="en-US" w:eastAsia="zh-CN"/>
              </w:rPr>
              <w:t>不超过20</w:t>
            </w:r>
            <w:r>
              <w:rPr>
                <w:rFonts w:hint="eastAsia" w:ascii="宋体" w:hAnsi="宋体" w:eastAsia="宋体" w:cs="宋体"/>
                <w:color w:val="auto"/>
                <w:sz w:val="24"/>
                <w:highlight w:val="none"/>
              </w:rPr>
              <w:t>小时，全年工作5</w:t>
            </w:r>
            <w:r>
              <w:rPr>
                <w:rFonts w:hint="eastAsia" w:ascii="宋体" w:hAnsi="宋体" w:eastAsia="宋体" w:cs="宋体"/>
                <w:color w:val="auto"/>
                <w:sz w:val="24"/>
                <w:highlight w:val="none"/>
                <w:lang w:val="en-US" w:eastAsia="zh-CN"/>
              </w:rPr>
              <w:t>2</w:t>
            </w:r>
            <w:r>
              <w:rPr>
                <w:rFonts w:hint="eastAsia" w:ascii="宋体" w:hAnsi="宋体" w:eastAsia="宋体" w:cs="宋体"/>
                <w:color w:val="auto"/>
                <w:sz w:val="24"/>
                <w:highlight w:val="none"/>
              </w:rPr>
              <w:t>周，则全年照射时间t为</w:t>
            </w:r>
            <w:r>
              <w:rPr>
                <w:rFonts w:hint="eastAsia" w:ascii="宋体" w:hAnsi="宋体" w:eastAsia="宋体" w:cs="宋体"/>
                <w:color w:val="auto"/>
                <w:sz w:val="24"/>
                <w:highlight w:val="none"/>
                <w:lang w:val="en-US" w:eastAsia="zh-CN"/>
              </w:rPr>
              <w:t>1040</w:t>
            </w:r>
            <w:r>
              <w:rPr>
                <w:rFonts w:hint="eastAsia" w:ascii="宋体" w:hAnsi="宋体" w:eastAsia="宋体" w:cs="宋体"/>
                <w:color w:val="auto"/>
                <w:sz w:val="24"/>
                <w:highlight w:val="none"/>
              </w:rPr>
              <w:t>小时；根据平面布置可知，</w:t>
            </w:r>
            <w:r>
              <w:rPr>
                <w:rFonts w:hint="eastAsia" w:ascii="宋体" w:hAnsi="宋体" w:eastAsia="宋体" w:cs="宋体"/>
                <w:color w:val="auto"/>
                <w:sz w:val="24"/>
                <w:highlight w:val="none"/>
                <w:lang w:val="en-US" w:eastAsia="zh-CN"/>
              </w:rPr>
              <w:t>10MV加速器操作间位于水冷机房和设备机房东侧</w:t>
            </w:r>
            <w:r>
              <w:rPr>
                <w:rFonts w:hint="eastAsia" w:ascii="宋体" w:hAnsi="宋体" w:eastAsia="宋体" w:cs="宋体"/>
                <w:color w:val="auto"/>
                <w:sz w:val="24"/>
                <w:highlight w:val="none"/>
              </w:rPr>
              <w:t>，偏安全取加速器</w:t>
            </w:r>
            <w:r>
              <w:rPr>
                <w:rFonts w:hint="eastAsia" w:ascii="宋体" w:hAnsi="宋体" w:eastAsia="宋体" w:cs="宋体"/>
                <w:color w:val="auto"/>
                <w:sz w:val="24"/>
                <w:highlight w:val="none"/>
                <w:lang w:val="en-US" w:eastAsia="zh-CN"/>
              </w:rPr>
              <w:t>四周</w:t>
            </w:r>
            <w:r>
              <w:rPr>
                <w:rFonts w:hint="eastAsia" w:ascii="宋体" w:hAnsi="宋体" w:eastAsia="宋体" w:cs="宋体"/>
                <w:color w:val="auto"/>
                <w:sz w:val="24"/>
                <w:highlight w:val="none"/>
              </w:rPr>
              <w:t>所有预测点最大值进行计算。</w:t>
            </w:r>
            <w:r>
              <w:rPr>
                <w:rFonts w:hint="eastAsia" w:ascii="宋体" w:hAnsi="宋体" w:eastAsia="宋体" w:cs="宋体"/>
                <w:color w:val="auto"/>
                <w:sz w:val="24"/>
                <w:highlight w:val="none"/>
                <w:lang w:val="en-US" w:eastAsia="zh-CN"/>
              </w:rPr>
              <w:t>工作人员居留因子取1，</w:t>
            </w:r>
            <w:r>
              <w:rPr>
                <w:rFonts w:hint="eastAsia" w:ascii="宋体" w:hAnsi="宋体" w:eastAsia="宋体" w:cs="宋体"/>
                <w:color w:val="auto"/>
                <w:sz w:val="24"/>
                <w:highlight w:val="none"/>
              </w:rPr>
              <w:t>因此综合考虑，</w:t>
            </w:r>
            <w:r>
              <w:rPr>
                <w:rFonts w:hint="eastAsia" w:ascii="宋体" w:hAnsi="宋体" w:eastAsia="宋体" w:cs="宋体"/>
                <w:color w:val="auto"/>
                <w:sz w:val="24"/>
                <w:highlight w:val="none"/>
                <w:lang w:eastAsia="zh-CN"/>
              </w:rPr>
              <w:t>操作间</w:t>
            </w:r>
            <w:r>
              <w:rPr>
                <w:rFonts w:hint="eastAsia" w:ascii="宋体" w:hAnsi="宋体" w:eastAsia="宋体" w:cs="宋体"/>
                <w:color w:val="auto"/>
                <w:sz w:val="24"/>
                <w:highlight w:val="none"/>
              </w:rPr>
              <w:t>工作人员的年附加剂量见下表。</w:t>
            </w:r>
          </w:p>
          <w:p>
            <w:pPr>
              <w:spacing w:line="240" w:lineRule="auto"/>
              <w:ind w:firstLine="413" w:firstLineChars="196"/>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表11-</w:t>
            </w:r>
            <w:r>
              <w:rPr>
                <w:rFonts w:hint="eastAsia" w:ascii="宋体" w:hAnsi="宋体" w:eastAsia="宋体" w:cs="宋体"/>
                <w:b/>
                <w:color w:val="auto"/>
                <w:sz w:val="21"/>
                <w:szCs w:val="21"/>
                <w:highlight w:val="none"/>
                <w:lang w:val="en-US" w:eastAsia="zh-CN"/>
              </w:rPr>
              <w:t>5</w:t>
            </w:r>
            <w:r>
              <w:rPr>
                <w:rFonts w:hint="eastAsia" w:ascii="宋体" w:hAnsi="宋体" w:eastAsia="宋体" w:cs="宋体"/>
                <w:b/>
                <w:color w:val="auto"/>
                <w:sz w:val="21"/>
                <w:szCs w:val="21"/>
                <w:highlight w:val="none"/>
              </w:rPr>
              <w:t xml:space="preserve">  </w:t>
            </w:r>
            <w:r>
              <w:rPr>
                <w:rFonts w:hint="eastAsia" w:ascii="宋体" w:hAnsi="宋体" w:eastAsia="宋体" w:cs="宋体"/>
                <w:b/>
                <w:color w:val="auto"/>
                <w:sz w:val="21"/>
                <w:szCs w:val="21"/>
                <w:highlight w:val="none"/>
                <w:lang w:eastAsia="zh-CN"/>
              </w:rPr>
              <w:t>操作间</w:t>
            </w:r>
            <w:r>
              <w:rPr>
                <w:rFonts w:hint="eastAsia" w:ascii="宋体" w:hAnsi="宋体" w:eastAsia="宋体" w:cs="宋体"/>
                <w:b/>
                <w:color w:val="auto"/>
                <w:sz w:val="21"/>
                <w:szCs w:val="21"/>
                <w:highlight w:val="none"/>
              </w:rPr>
              <w:t>工作人员年附加有效剂量估算</w:t>
            </w:r>
          </w:p>
          <w:tbl>
            <w:tblPr>
              <w:tblStyle w:val="18"/>
              <w:tblW w:w="4998" w:type="pct"/>
              <w:jc w:val="center"/>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1413"/>
              <w:gridCol w:w="1276"/>
              <w:gridCol w:w="2397"/>
              <w:gridCol w:w="1034"/>
              <w:gridCol w:w="1291"/>
              <w:gridCol w:w="1303"/>
            </w:tblGrid>
            <w:tr>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020" w:hRule="exact"/>
                <w:jc w:val="center"/>
              </w:trPr>
              <w:tc>
                <w:tcPr>
                  <w:tcW w:w="810" w:type="pct"/>
                  <w:vAlign w:val="center"/>
                </w:tcPr>
                <w:p>
                  <w:pPr>
                    <w:spacing w:line="240" w:lineRule="auto"/>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设备</w:t>
                  </w:r>
                </w:p>
                <w:p>
                  <w:pPr>
                    <w:spacing w:line="240" w:lineRule="auto"/>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名称</w:t>
                  </w:r>
                </w:p>
              </w:tc>
              <w:tc>
                <w:tcPr>
                  <w:tcW w:w="732" w:type="pct"/>
                  <w:vAlign w:val="center"/>
                </w:tcPr>
                <w:p>
                  <w:pPr>
                    <w:spacing w:line="240" w:lineRule="auto"/>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计算点剂量</w:t>
                  </w:r>
                  <w:r>
                    <w:rPr>
                      <w:rFonts w:hint="eastAsia" w:ascii="宋体" w:hAnsi="宋体" w:eastAsia="宋体" w:cs="宋体"/>
                      <w:b/>
                      <w:color w:val="auto"/>
                      <w:sz w:val="21"/>
                      <w:szCs w:val="21"/>
                      <w:highlight w:val="none"/>
                      <w:lang w:val="en-US" w:eastAsia="zh-CN"/>
                    </w:rPr>
                    <w:t>率</w:t>
                  </w:r>
                  <w:r>
                    <w:rPr>
                      <w:rFonts w:hint="eastAsia" w:ascii="宋体" w:hAnsi="宋体" w:eastAsia="宋体" w:cs="宋体"/>
                      <w:b/>
                      <w:color w:val="auto"/>
                      <w:sz w:val="21"/>
                      <w:szCs w:val="21"/>
                      <w:highlight w:val="none"/>
                    </w:rPr>
                    <w:t>D</w:t>
                  </w:r>
                </w:p>
                <w:p>
                  <w:pPr>
                    <w:spacing w:line="240" w:lineRule="auto"/>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（μSv·h</w:t>
                  </w:r>
                  <w:r>
                    <w:rPr>
                      <w:rFonts w:hint="eastAsia" w:ascii="宋体" w:hAnsi="宋体" w:eastAsia="宋体" w:cs="宋体"/>
                      <w:b/>
                      <w:color w:val="auto"/>
                      <w:sz w:val="21"/>
                      <w:szCs w:val="21"/>
                      <w:highlight w:val="none"/>
                      <w:vertAlign w:val="superscript"/>
                    </w:rPr>
                    <w:t>-1</w:t>
                  </w:r>
                  <w:r>
                    <w:rPr>
                      <w:rFonts w:hint="eastAsia" w:ascii="宋体" w:hAnsi="宋体" w:eastAsia="宋体" w:cs="宋体"/>
                      <w:b/>
                      <w:color w:val="auto"/>
                      <w:sz w:val="21"/>
                      <w:szCs w:val="21"/>
                      <w:highlight w:val="none"/>
                    </w:rPr>
                    <w:t>）</w:t>
                  </w:r>
                </w:p>
              </w:tc>
              <w:tc>
                <w:tcPr>
                  <w:tcW w:w="1375" w:type="pct"/>
                  <w:vAlign w:val="center"/>
                </w:tcPr>
                <w:p>
                  <w:pPr>
                    <w:spacing w:line="240" w:lineRule="auto"/>
                    <w:jc w:val="center"/>
                    <w:rPr>
                      <w:rFonts w:hint="eastAsia" w:ascii="宋体" w:hAnsi="宋体" w:eastAsia="宋体" w:cs="宋体"/>
                      <w:b/>
                      <w:color w:val="auto"/>
                      <w:sz w:val="21"/>
                      <w:szCs w:val="21"/>
                      <w:highlight w:val="none"/>
                      <w:lang w:val="en-US" w:eastAsia="zh-CN"/>
                    </w:rPr>
                  </w:pPr>
                  <w:r>
                    <w:rPr>
                      <w:rFonts w:hint="eastAsia" w:ascii="宋体" w:hAnsi="宋体" w:eastAsia="宋体" w:cs="宋体"/>
                      <w:b/>
                      <w:color w:val="auto"/>
                      <w:sz w:val="21"/>
                      <w:szCs w:val="21"/>
                      <w:highlight w:val="none"/>
                      <w:lang w:val="en-US" w:eastAsia="zh-CN"/>
                    </w:rPr>
                    <w:t>计算点剂量率取值依据</w:t>
                  </w:r>
                </w:p>
              </w:tc>
              <w:tc>
                <w:tcPr>
                  <w:tcW w:w="593" w:type="pct"/>
                  <w:vAlign w:val="center"/>
                </w:tcPr>
                <w:p>
                  <w:pPr>
                    <w:spacing w:line="240" w:lineRule="auto"/>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居留因子T</w:t>
                  </w:r>
                </w:p>
              </w:tc>
              <w:tc>
                <w:tcPr>
                  <w:tcW w:w="740" w:type="pct"/>
                  <w:vAlign w:val="center"/>
                </w:tcPr>
                <w:p>
                  <w:pPr>
                    <w:spacing w:line="240" w:lineRule="auto"/>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受照时间t</w:t>
                  </w:r>
                </w:p>
                <w:p>
                  <w:pPr>
                    <w:spacing w:line="240" w:lineRule="auto"/>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（h）</w:t>
                  </w:r>
                </w:p>
              </w:tc>
              <w:tc>
                <w:tcPr>
                  <w:tcW w:w="747" w:type="pct"/>
                  <w:vAlign w:val="center"/>
                </w:tcPr>
                <w:p>
                  <w:pPr>
                    <w:spacing w:line="240" w:lineRule="auto"/>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年有效剂量</w:t>
                  </w:r>
                </w:p>
                <w:p>
                  <w:pPr>
                    <w:spacing w:line="240" w:lineRule="auto"/>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（mSv）</w:t>
                  </w:r>
                </w:p>
              </w:tc>
            </w:tr>
            <w:tr>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680" w:hRule="exact"/>
                <w:jc w:val="center"/>
              </w:trPr>
              <w:tc>
                <w:tcPr>
                  <w:tcW w:w="810" w:type="pct"/>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10</w:t>
                  </w:r>
                  <w:r>
                    <w:rPr>
                      <w:rFonts w:hint="eastAsia" w:ascii="宋体" w:hAnsi="宋体" w:eastAsia="宋体" w:cs="宋体"/>
                      <w:color w:val="auto"/>
                      <w:sz w:val="21"/>
                      <w:szCs w:val="21"/>
                      <w:highlight w:val="none"/>
                    </w:rPr>
                    <w:t>MV加速器</w:t>
                  </w:r>
                </w:p>
              </w:tc>
              <w:tc>
                <w:tcPr>
                  <w:tcW w:w="732" w:type="pct"/>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0.232</w:t>
                  </w:r>
                </w:p>
              </w:tc>
              <w:tc>
                <w:tcPr>
                  <w:tcW w:w="1375" w:type="pct"/>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10MV加速器机房周围所有预测点位中最大值</w:t>
                  </w:r>
                </w:p>
              </w:tc>
              <w:tc>
                <w:tcPr>
                  <w:tcW w:w="593" w:type="pct"/>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w:t>
                  </w:r>
                </w:p>
              </w:tc>
              <w:tc>
                <w:tcPr>
                  <w:tcW w:w="740" w:type="pct"/>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1040</w:t>
                  </w:r>
                </w:p>
              </w:tc>
              <w:tc>
                <w:tcPr>
                  <w:tcW w:w="747" w:type="pct"/>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0.241</w:t>
                  </w:r>
                </w:p>
              </w:tc>
            </w:tr>
            <w:tr>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exact"/>
                <w:jc w:val="center"/>
              </w:trPr>
              <w:tc>
                <w:tcPr>
                  <w:tcW w:w="4252" w:type="pct"/>
                  <w:gridSpan w:val="5"/>
                  <w:vAlign w:val="center"/>
                </w:tcPr>
                <w:p>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合计</w:t>
                  </w:r>
                </w:p>
              </w:tc>
              <w:tc>
                <w:tcPr>
                  <w:tcW w:w="747" w:type="pct"/>
                  <w:vAlign w:val="center"/>
                </w:tcPr>
                <w:p>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0.241</w:t>
                  </w:r>
                </w:p>
              </w:tc>
            </w:tr>
          </w:tbl>
          <w:p>
            <w:pPr>
              <w:adjustRightInd w:val="0"/>
              <w:snapToGrid w:val="0"/>
              <w:spacing w:line="360" w:lineRule="auto"/>
              <w:ind w:firstLine="470" w:firstLineChars="196"/>
              <w:rPr>
                <w:rFonts w:hint="eastAsia" w:ascii="宋体" w:hAnsi="宋体" w:eastAsia="宋体" w:cs="宋体"/>
                <w:color w:val="auto"/>
                <w:sz w:val="24"/>
                <w:highlight w:val="none"/>
              </w:rPr>
            </w:pPr>
            <w:r>
              <w:rPr>
                <w:rFonts w:hint="eastAsia" w:ascii="宋体" w:hAnsi="宋体" w:eastAsia="宋体" w:cs="宋体"/>
                <w:color w:val="auto"/>
                <w:sz w:val="24"/>
                <w:highlight w:val="none"/>
              </w:rPr>
              <w:t>由上表可知，</w:t>
            </w:r>
            <w:r>
              <w:rPr>
                <w:rFonts w:hint="eastAsia" w:ascii="宋体" w:hAnsi="宋体" w:eastAsia="宋体" w:cs="宋体"/>
                <w:color w:val="auto"/>
                <w:sz w:val="24"/>
                <w:highlight w:val="none"/>
                <w:lang w:eastAsia="zh-CN"/>
              </w:rPr>
              <w:t>操作间</w:t>
            </w:r>
            <w:r>
              <w:rPr>
                <w:rFonts w:hint="eastAsia" w:ascii="宋体" w:hAnsi="宋体" w:eastAsia="宋体" w:cs="宋体"/>
                <w:color w:val="auto"/>
                <w:sz w:val="24"/>
                <w:highlight w:val="none"/>
              </w:rPr>
              <w:t>工作人员年附加有效剂量为</w:t>
            </w:r>
            <w:r>
              <w:rPr>
                <w:rFonts w:hint="eastAsia" w:ascii="宋体" w:hAnsi="宋体" w:eastAsia="宋体" w:cs="宋体"/>
                <w:color w:val="auto"/>
                <w:sz w:val="24"/>
                <w:highlight w:val="none"/>
                <w:lang w:val="en-US" w:eastAsia="zh-CN"/>
              </w:rPr>
              <w:t>0.241</w:t>
            </w:r>
            <w:r>
              <w:rPr>
                <w:rFonts w:hint="eastAsia" w:ascii="宋体" w:hAnsi="宋体" w:eastAsia="宋体" w:cs="宋体"/>
                <w:color w:val="auto"/>
                <w:sz w:val="24"/>
                <w:highlight w:val="none"/>
              </w:rPr>
              <w:t>mSv，满足《电离辐射防护与辐射源安全基本标准》（GB18871-2002）</w:t>
            </w:r>
            <w:r>
              <w:rPr>
                <w:rFonts w:hint="eastAsia" w:ascii="宋体" w:hAnsi="宋体" w:eastAsia="宋体" w:cs="宋体"/>
                <w:color w:val="auto"/>
                <w:sz w:val="24"/>
                <w:highlight w:val="none"/>
                <w:lang w:val="en-US" w:eastAsia="zh-CN"/>
              </w:rPr>
              <w:t>及</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放射治疗辐射安全与防护要求</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HJ1198-2021</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highlight w:val="none"/>
              </w:rPr>
              <w:t>中小于剂量约束值5mSv</w:t>
            </w:r>
            <w:r>
              <w:rPr>
                <w:rFonts w:hint="eastAsia" w:ascii="宋体" w:hAnsi="宋体" w:eastAsia="宋体" w:cs="宋体"/>
                <w:color w:val="auto"/>
                <w:sz w:val="24"/>
                <w:highlight w:val="none"/>
                <w:lang w:val="en-US" w:eastAsia="zh-CN"/>
              </w:rPr>
              <w:t>/a</w:t>
            </w:r>
            <w:r>
              <w:rPr>
                <w:rFonts w:hint="eastAsia" w:ascii="宋体" w:hAnsi="宋体" w:eastAsia="宋体" w:cs="宋体"/>
                <w:color w:val="auto"/>
                <w:sz w:val="24"/>
                <w:highlight w:val="none"/>
              </w:rPr>
              <w:t>的要求。</w:t>
            </w:r>
          </w:p>
          <w:p>
            <w:pPr>
              <w:adjustRightInd w:val="0"/>
              <w:snapToGrid w:val="0"/>
              <w:spacing w:line="360" w:lineRule="auto"/>
              <w:ind w:firstLine="470" w:firstLineChars="196"/>
              <w:rPr>
                <w:rFonts w:hint="eastAsia" w:ascii="宋体" w:hAnsi="宋体" w:eastAsia="宋体" w:cs="宋体"/>
                <w:color w:val="auto"/>
                <w:kern w:val="0"/>
                <w:sz w:val="24"/>
                <w:highlight w:val="none"/>
              </w:rPr>
            </w:pPr>
            <w:r>
              <w:rPr>
                <w:rFonts w:hint="eastAsia" w:ascii="宋体" w:hAnsi="宋体" w:eastAsia="宋体" w:cs="宋体"/>
                <w:color w:val="auto"/>
                <w:sz w:val="24"/>
                <w:highlight w:val="none"/>
              </w:rPr>
              <w:t>2)公众人员年附加剂量</w:t>
            </w:r>
            <w:r>
              <w:rPr>
                <w:rFonts w:hint="eastAsia" w:ascii="宋体" w:hAnsi="宋体" w:eastAsia="宋体" w:cs="宋体"/>
                <w:color w:val="auto"/>
                <w:kern w:val="0"/>
                <w:sz w:val="24"/>
                <w:highlight w:val="none"/>
              </w:rPr>
              <w:t>计算</w:t>
            </w:r>
          </w:p>
          <w:p>
            <w:pPr>
              <w:spacing w:line="336" w:lineRule="auto"/>
              <w:ind w:firstLine="470" w:firstLineChars="196"/>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lang w:val="en-US" w:eastAsia="zh-CN"/>
              </w:rPr>
              <w:t>根据表11-2，机房周围</w:t>
            </w:r>
            <w:r>
              <w:rPr>
                <w:rFonts w:hint="eastAsia" w:ascii="宋体" w:hAnsi="宋体" w:eastAsia="宋体" w:cs="宋体"/>
                <w:color w:val="auto"/>
                <w:sz w:val="24"/>
                <w:highlight w:val="none"/>
              </w:rPr>
              <w:t>公众人员居留</w:t>
            </w:r>
            <w:r>
              <w:rPr>
                <w:rFonts w:hint="eastAsia" w:ascii="宋体" w:hAnsi="宋体" w:eastAsia="宋体" w:cs="宋体"/>
                <w:color w:val="auto"/>
                <w:sz w:val="24"/>
                <w:highlight w:val="none"/>
                <w:lang w:val="en-US" w:eastAsia="zh-CN"/>
              </w:rPr>
              <w:t>因子偏安全取1/8</w:t>
            </w:r>
            <w:r>
              <w:rPr>
                <w:rFonts w:hint="eastAsia" w:ascii="宋体" w:hAnsi="宋体" w:eastAsia="宋体" w:cs="宋体"/>
                <w:color w:val="auto"/>
                <w:sz w:val="24"/>
                <w:highlight w:val="none"/>
              </w:rPr>
              <w:t>，偏安全取加速器</w:t>
            </w:r>
            <w:r>
              <w:rPr>
                <w:rFonts w:hint="eastAsia" w:ascii="宋体" w:hAnsi="宋体" w:eastAsia="宋体" w:cs="宋体"/>
                <w:color w:val="auto"/>
                <w:sz w:val="24"/>
                <w:highlight w:val="none"/>
                <w:lang w:val="en-US" w:eastAsia="zh-CN"/>
              </w:rPr>
              <w:t>四周</w:t>
            </w:r>
            <w:r>
              <w:rPr>
                <w:rFonts w:hint="eastAsia" w:ascii="宋体" w:hAnsi="宋体" w:eastAsia="宋体" w:cs="宋体"/>
                <w:color w:val="auto"/>
                <w:sz w:val="24"/>
                <w:highlight w:val="none"/>
              </w:rPr>
              <w:t xml:space="preserve">所有预测点最大值进行计算。 </w:t>
            </w:r>
          </w:p>
          <w:p>
            <w:pPr>
              <w:spacing w:line="360" w:lineRule="auto"/>
              <w:ind w:firstLine="470" w:firstLineChars="196"/>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因此综合考虑，公众人员的年附加剂量见下表。</w:t>
            </w:r>
          </w:p>
          <w:p>
            <w:pPr>
              <w:spacing w:line="240" w:lineRule="auto"/>
              <w:ind w:firstLine="0" w:firstLineChars="0"/>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表11-</w:t>
            </w:r>
            <w:r>
              <w:rPr>
                <w:rFonts w:hint="eastAsia" w:ascii="宋体" w:hAnsi="宋体" w:eastAsia="宋体" w:cs="宋体"/>
                <w:b/>
                <w:color w:val="auto"/>
                <w:sz w:val="21"/>
                <w:szCs w:val="21"/>
                <w:highlight w:val="none"/>
                <w:lang w:val="en-US" w:eastAsia="zh-CN"/>
              </w:rPr>
              <w:t>6</w:t>
            </w:r>
            <w:r>
              <w:rPr>
                <w:rFonts w:hint="eastAsia" w:ascii="宋体" w:hAnsi="宋体" w:eastAsia="宋体" w:cs="宋体"/>
                <w:b/>
                <w:color w:val="auto"/>
                <w:sz w:val="21"/>
                <w:szCs w:val="21"/>
                <w:highlight w:val="none"/>
              </w:rPr>
              <w:t xml:space="preserve">  公众人员年附加有效剂量估算</w:t>
            </w:r>
          </w:p>
          <w:tbl>
            <w:tblPr>
              <w:tblStyle w:val="18"/>
              <w:tblW w:w="8726" w:type="dxa"/>
              <w:jc w:val="center"/>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1417"/>
              <w:gridCol w:w="1305"/>
              <w:gridCol w:w="2406"/>
              <w:gridCol w:w="984"/>
              <w:gridCol w:w="1316"/>
              <w:gridCol w:w="1298"/>
            </w:tblGrid>
            <w:tr>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020" w:hRule="atLeast"/>
                <w:jc w:val="center"/>
              </w:trPr>
              <w:tc>
                <w:tcPr>
                  <w:tcW w:w="1417" w:type="dxa"/>
                  <w:vAlign w:val="center"/>
                </w:tcPr>
                <w:p>
                  <w:pPr>
                    <w:spacing w:line="240" w:lineRule="auto"/>
                    <w:ind w:firstLine="0" w:firstLineChars="0"/>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设备</w:t>
                  </w:r>
                </w:p>
                <w:p>
                  <w:pPr>
                    <w:spacing w:line="240" w:lineRule="auto"/>
                    <w:ind w:firstLine="0" w:firstLineChars="0"/>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名称</w:t>
                  </w:r>
                </w:p>
              </w:tc>
              <w:tc>
                <w:tcPr>
                  <w:tcW w:w="1305" w:type="dxa"/>
                  <w:vAlign w:val="center"/>
                </w:tcPr>
                <w:p>
                  <w:pPr>
                    <w:spacing w:line="240" w:lineRule="auto"/>
                    <w:ind w:firstLine="0" w:firstLineChars="0"/>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计算点剂量</w:t>
                  </w:r>
                  <w:r>
                    <w:rPr>
                      <w:rFonts w:hint="eastAsia" w:ascii="宋体" w:hAnsi="宋体" w:eastAsia="宋体" w:cs="宋体"/>
                      <w:b/>
                      <w:color w:val="auto"/>
                      <w:sz w:val="21"/>
                      <w:szCs w:val="21"/>
                      <w:highlight w:val="none"/>
                      <w:lang w:val="en-US" w:eastAsia="zh-CN"/>
                    </w:rPr>
                    <w:t>率</w:t>
                  </w:r>
                  <w:r>
                    <w:rPr>
                      <w:rFonts w:hint="eastAsia" w:ascii="宋体" w:hAnsi="宋体" w:eastAsia="宋体" w:cs="宋体"/>
                      <w:b/>
                      <w:color w:val="auto"/>
                      <w:sz w:val="21"/>
                      <w:szCs w:val="21"/>
                      <w:highlight w:val="none"/>
                    </w:rPr>
                    <w:t>D</w:t>
                  </w:r>
                </w:p>
                <w:p>
                  <w:pPr>
                    <w:spacing w:line="240" w:lineRule="auto"/>
                    <w:ind w:firstLine="0" w:firstLineChars="0"/>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（μSv·h</w:t>
                  </w:r>
                  <w:r>
                    <w:rPr>
                      <w:rFonts w:hint="eastAsia" w:ascii="宋体" w:hAnsi="宋体" w:eastAsia="宋体" w:cs="宋体"/>
                      <w:b/>
                      <w:color w:val="auto"/>
                      <w:sz w:val="21"/>
                      <w:szCs w:val="21"/>
                      <w:highlight w:val="none"/>
                      <w:vertAlign w:val="superscript"/>
                    </w:rPr>
                    <w:t>-1</w:t>
                  </w:r>
                  <w:r>
                    <w:rPr>
                      <w:rFonts w:hint="eastAsia" w:ascii="宋体" w:hAnsi="宋体" w:eastAsia="宋体" w:cs="宋体"/>
                      <w:b/>
                      <w:color w:val="auto"/>
                      <w:sz w:val="21"/>
                      <w:szCs w:val="21"/>
                      <w:highlight w:val="none"/>
                    </w:rPr>
                    <w:t>）</w:t>
                  </w:r>
                </w:p>
              </w:tc>
              <w:tc>
                <w:tcPr>
                  <w:tcW w:w="2406" w:type="dxa"/>
                  <w:vAlign w:val="center"/>
                </w:tcPr>
                <w:p>
                  <w:pPr>
                    <w:spacing w:line="240" w:lineRule="auto"/>
                    <w:ind w:firstLine="0" w:firstLineChars="0"/>
                    <w:jc w:val="center"/>
                    <w:rPr>
                      <w:rFonts w:hint="eastAsia" w:ascii="宋体" w:hAnsi="宋体" w:eastAsia="宋体" w:cs="宋体"/>
                      <w:b/>
                      <w:color w:val="auto"/>
                      <w:sz w:val="21"/>
                      <w:szCs w:val="21"/>
                      <w:highlight w:val="none"/>
                      <w:lang w:val="en-US" w:eastAsia="zh-CN"/>
                    </w:rPr>
                  </w:pPr>
                  <w:r>
                    <w:rPr>
                      <w:rFonts w:hint="eastAsia" w:ascii="宋体" w:hAnsi="宋体" w:eastAsia="宋体" w:cs="宋体"/>
                      <w:b/>
                      <w:color w:val="auto"/>
                      <w:sz w:val="21"/>
                      <w:szCs w:val="21"/>
                      <w:highlight w:val="none"/>
                      <w:lang w:val="en-US" w:eastAsia="zh-CN"/>
                    </w:rPr>
                    <w:t>计算点剂量率取值依据</w:t>
                  </w:r>
                </w:p>
              </w:tc>
              <w:tc>
                <w:tcPr>
                  <w:tcW w:w="984" w:type="dxa"/>
                  <w:vAlign w:val="center"/>
                </w:tcPr>
                <w:p>
                  <w:pPr>
                    <w:spacing w:line="240" w:lineRule="auto"/>
                    <w:ind w:firstLine="0" w:firstLineChars="0"/>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居留因子T</w:t>
                  </w:r>
                </w:p>
              </w:tc>
              <w:tc>
                <w:tcPr>
                  <w:tcW w:w="1316" w:type="dxa"/>
                  <w:vAlign w:val="center"/>
                </w:tcPr>
                <w:p>
                  <w:pPr>
                    <w:spacing w:line="240" w:lineRule="auto"/>
                    <w:ind w:firstLine="0" w:firstLineChars="0"/>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受照时间t（h）</w:t>
                  </w:r>
                </w:p>
              </w:tc>
              <w:tc>
                <w:tcPr>
                  <w:tcW w:w="1298" w:type="dxa"/>
                  <w:vAlign w:val="center"/>
                </w:tcPr>
                <w:p>
                  <w:pPr>
                    <w:spacing w:line="240" w:lineRule="auto"/>
                    <w:ind w:firstLine="0" w:firstLineChars="0"/>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年有效剂量</w:t>
                  </w:r>
                </w:p>
                <w:p>
                  <w:pPr>
                    <w:spacing w:line="240" w:lineRule="auto"/>
                    <w:ind w:firstLine="0" w:firstLineChars="0"/>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（mSv）</w:t>
                  </w:r>
                </w:p>
              </w:tc>
            </w:tr>
            <w:tr>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020" w:hRule="atLeast"/>
                <w:jc w:val="center"/>
              </w:trPr>
              <w:tc>
                <w:tcPr>
                  <w:tcW w:w="1417" w:type="dxa"/>
                  <w:vAlign w:val="center"/>
                </w:tcPr>
                <w:p>
                  <w:pPr>
                    <w:spacing w:line="240" w:lineRule="auto"/>
                    <w:ind w:firstLine="0" w:firstLineChars="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10</w:t>
                  </w:r>
                  <w:r>
                    <w:rPr>
                      <w:rFonts w:hint="eastAsia" w:ascii="宋体" w:hAnsi="宋体" w:eastAsia="宋体" w:cs="宋体"/>
                      <w:color w:val="auto"/>
                      <w:sz w:val="21"/>
                      <w:szCs w:val="21"/>
                      <w:highlight w:val="none"/>
                    </w:rPr>
                    <w:t>MV加速器</w:t>
                  </w:r>
                </w:p>
              </w:tc>
              <w:tc>
                <w:tcPr>
                  <w:tcW w:w="1305" w:type="dxa"/>
                  <w:vAlign w:val="center"/>
                </w:tcPr>
                <w:p>
                  <w:pPr>
                    <w:spacing w:line="240" w:lineRule="auto"/>
                    <w:ind w:firstLine="0" w:firstLineChars="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0.232</w:t>
                  </w:r>
                </w:p>
              </w:tc>
              <w:tc>
                <w:tcPr>
                  <w:tcW w:w="2406" w:type="dxa"/>
                  <w:vAlign w:val="center"/>
                </w:tcPr>
                <w:p>
                  <w:pPr>
                    <w:spacing w:line="240" w:lineRule="auto"/>
                    <w:ind w:firstLine="0" w:firstLineChars="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加速器机房外人员可到达区域所有预测点位中最大值</w:t>
                  </w:r>
                </w:p>
              </w:tc>
              <w:tc>
                <w:tcPr>
                  <w:tcW w:w="984" w:type="dxa"/>
                  <w:vAlign w:val="center"/>
                </w:tcPr>
                <w:p>
                  <w:pPr>
                    <w:spacing w:line="240" w:lineRule="auto"/>
                    <w:ind w:firstLine="0" w:firstLineChars="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1/8</w:t>
                  </w:r>
                </w:p>
              </w:tc>
              <w:tc>
                <w:tcPr>
                  <w:tcW w:w="1316" w:type="dxa"/>
                  <w:vAlign w:val="center"/>
                </w:tcPr>
                <w:p>
                  <w:pPr>
                    <w:spacing w:line="240" w:lineRule="auto"/>
                    <w:ind w:firstLine="0" w:firstLineChars="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1040</w:t>
                  </w:r>
                </w:p>
              </w:tc>
              <w:tc>
                <w:tcPr>
                  <w:tcW w:w="1298" w:type="dxa"/>
                  <w:vAlign w:val="center"/>
                </w:tcPr>
                <w:p>
                  <w:pPr>
                    <w:spacing w:line="240" w:lineRule="auto"/>
                    <w:ind w:firstLine="0" w:firstLineChars="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0.030</w:t>
                  </w:r>
                </w:p>
              </w:tc>
            </w:tr>
            <w:tr>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exact"/>
                <w:jc w:val="center"/>
              </w:trPr>
              <w:tc>
                <w:tcPr>
                  <w:tcW w:w="7428" w:type="dxa"/>
                  <w:gridSpan w:val="5"/>
                  <w:vAlign w:val="center"/>
                </w:tcPr>
                <w:p>
                  <w:pPr>
                    <w:spacing w:line="240" w:lineRule="auto"/>
                    <w:ind w:firstLine="0" w:firstLineChars="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合计</w:t>
                  </w:r>
                </w:p>
              </w:tc>
              <w:tc>
                <w:tcPr>
                  <w:tcW w:w="1298" w:type="dxa"/>
                  <w:vAlign w:val="center"/>
                </w:tcPr>
                <w:p>
                  <w:pPr>
                    <w:spacing w:line="240" w:lineRule="auto"/>
                    <w:ind w:firstLine="0" w:firstLineChars="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0.030</w:t>
                  </w:r>
                </w:p>
              </w:tc>
            </w:tr>
          </w:tbl>
          <w:p>
            <w:pPr>
              <w:adjustRightInd w:val="0"/>
              <w:snapToGrid w:val="0"/>
              <w:spacing w:line="360" w:lineRule="auto"/>
              <w:ind w:firstLine="470" w:firstLineChars="196"/>
              <w:rPr>
                <w:rFonts w:hint="eastAsia" w:ascii="宋体" w:hAnsi="宋体" w:eastAsia="宋体" w:cs="宋体"/>
                <w:color w:val="auto"/>
                <w:sz w:val="24"/>
                <w:highlight w:val="none"/>
              </w:rPr>
            </w:pPr>
            <w:r>
              <w:rPr>
                <w:rFonts w:hint="eastAsia" w:ascii="宋体" w:hAnsi="宋体" w:eastAsia="宋体" w:cs="宋体"/>
                <w:color w:val="auto"/>
                <w:sz w:val="24"/>
                <w:highlight w:val="none"/>
              </w:rPr>
              <w:t>由上表可知，公众人员年附加有效剂量为0.0</w:t>
            </w:r>
            <w:r>
              <w:rPr>
                <w:rFonts w:hint="eastAsia" w:ascii="宋体" w:hAnsi="宋体" w:eastAsia="宋体" w:cs="宋体"/>
                <w:color w:val="auto"/>
                <w:sz w:val="24"/>
                <w:highlight w:val="none"/>
                <w:lang w:val="en-US" w:eastAsia="zh-CN"/>
              </w:rPr>
              <w:t>30</w:t>
            </w:r>
            <w:r>
              <w:rPr>
                <w:rFonts w:hint="eastAsia" w:ascii="宋体" w:hAnsi="宋体" w:eastAsia="宋体" w:cs="宋体"/>
                <w:color w:val="auto"/>
                <w:sz w:val="24"/>
                <w:highlight w:val="none"/>
              </w:rPr>
              <w:t>mSv，满足《电离辐射防护与辐射源安全基本标准》（GB18871-2002）</w:t>
            </w:r>
            <w:r>
              <w:rPr>
                <w:rFonts w:hint="eastAsia" w:ascii="宋体" w:hAnsi="宋体" w:eastAsia="宋体" w:cs="宋体"/>
                <w:color w:val="auto"/>
                <w:sz w:val="24"/>
                <w:highlight w:val="none"/>
                <w:lang w:val="en-US" w:eastAsia="zh-CN"/>
              </w:rPr>
              <w:t>及</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放射治疗辐射安全与防护要求</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HJ1198-2021</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highlight w:val="none"/>
              </w:rPr>
              <w:t>中低于公众人员有效剂量0.</w:t>
            </w:r>
            <w:r>
              <w:rPr>
                <w:rFonts w:hint="eastAsia" w:ascii="宋体" w:hAnsi="宋体" w:eastAsia="宋体" w:cs="宋体"/>
                <w:color w:val="auto"/>
                <w:sz w:val="24"/>
                <w:highlight w:val="none"/>
                <w:lang w:val="en-US" w:eastAsia="zh-CN"/>
              </w:rPr>
              <w:t>1</w:t>
            </w:r>
            <w:r>
              <w:rPr>
                <w:rFonts w:hint="eastAsia" w:ascii="宋体" w:hAnsi="宋体" w:eastAsia="宋体" w:cs="宋体"/>
                <w:color w:val="auto"/>
                <w:sz w:val="24"/>
                <w:highlight w:val="none"/>
              </w:rPr>
              <w:t>mSv</w:t>
            </w:r>
            <w:r>
              <w:rPr>
                <w:rFonts w:hint="eastAsia" w:ascii="宋体" w:hAnsi="宋体" w:eastAsia="宋体" w:cs="宋体"/>
                <w:color w:val="auto"/>
                <w:sz w:val="24"/>
                <w:highlight w:val="none"/>
                <w:lang w:val="en-US" w:eastAsia="zh-CN"/>
              </w:rPr>
              <w:t>/a</w:t>
            </w:r>
            <w:r>
              <w:rPr>
                <w:rFonts w:hint="eastAsia" w:ascii="宋体" w:hAnsi="宋体" w:eastAsia="宋体" w:cs="宋体"/>
                <w:color w:val="auto"/>
                <w:sz w:val="24"/>
                <w:highlight w:val="none"/>
              </w:rPr>
              <w:t>的约束限值的要求。</w:t>
            </w:r>
          </w:p>
          <w:p>
            <w:pPr>
              <w:adjustRightInd w:val="0"/>
              <w:snapToGrid w:val="0"/>
              <w:spacing w:line="360" w:lineRule="auto"/>
              <w:ind w:firstLine="470" w:firstLineChars="196"/>
              <w:rPr>
                <w:rFonts w:hint="eastAsia" w:ascii="宋体" w:hAnsi="宋体" w:eastAsia="宋体" w:cs="宋体"/>
                <w:color w:val="auto"/>
                <w:kern w:val="0"/>
                <w:sz w:val="24"/>
                <w:highlight w:val="none"/>
                <w:lang w:val="en-US" w:eastAsia="zh-CN"/>
              </w:rPr>
            </w:pPr>
            <w:r>
              <w:rPr>
                <w:rFonts w:hint="eastAsia" w:ascii="宋体" w:hAnsi="宋体" w:eastAsia="宋体" w:cs="宋体"/>
                <w:color w:val="auto"/>
                <w:sz w:val="24"/>
                <w:highlight w:val="none"/>
              </w:rPr>
              <w:t>3)对周围敏感目标的影响分析</w:t>
            </w:r>
          </w:p>
          <w:p>
            <w:pPr>
              <w:adjustRightInd w:val="0"/>
              <w:snapToGrid w:val="0"/>
              <w:spacing w:line="360" w:lineRule="auto"/>
              <w:ind w:firstLine="470" w:firstLineChars="196"/>
              <w:rPr>
                <w:rFonts w:hint="eastAsia" w:ascii="宋体" w:hAnsi="宋体" w:eastAsia="宋体" w:cs="宋体"/>
                <w:color w:val="auto"/>
                <w:sz w:val="24"/>
                <w:highlight w:val="none"/>
              </w:rPr>
            </w:pPr>
            <w:r>
              <w:rPr>
                <w:rFonts w:hint="eastAsia" w:ascii="宋体" w:hAnsi="宋体" w:eastAsia="宋体" w:cs="宋体"/>
                <w:color w:val="auto"/>
                <w:kern w:val="0"/>
                <w:sz w:val="24"/>
                <w:highlight w:val="none"/>
                <w:lang w:val="en-US" w:eastAsia="zh-CN"/>
              </w:rPr>
              <w:t>与本项目距离最近的敏感目标为加速器机房东侧接诊室办公人员（居留因子为1），距离本项目屏蔽墙最近距离约为16m，由于加速器所致关注点的剂量率与距离的平方成反比，机房外最大剂量当量率为0.232</w:t>
            </w:r>
            <w:r>
              <w:rPr>
                <w:rFonts w:hint="eastAsia" w:ascii="宋体" w:hAnsi="宋体" w:eastAsia="宋体" w:cs="宋体"/>
                <w:color w:val="auto"/>
                <w:kern w:val="0"/>
                <w:sz w:val="24"/>
                <w:highlight w:val="none"/>
              </w:rPr>
              <w:t>μSv/h</w:t>
            </w: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lang w:val="en-US" w:eastAsia="zh-CN"/>
              </w:rPr>
              <w:t>北墙外）</w:t>
            </w: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lang w:val="en-US" w:eastAsia="zh-CN"/>
              </w:rPr>
              <w:t>则接诊室处的剂量当量率约等于0.232×（5.5/16）</w:t>
            </w:r>
            <w:r>
              <w:rPr>
                <w:rFonts w:hint="eastAsia" w:ascii="宋体" w:hAnsi="宋体" w:eastAsia="宋体" w:cs="宋体"/>
                <w:color w:val="auto"/>
                <w:kern w:val="0"/>
                <w:sz w:val="24"/>
                <w:highlight w:val="none"/>
                <w:vertAlign w:val="superscript"/>
                <w:lang w:val="en-US" w:eastAsia="zh-CN"/>
              </w:rPr>
              <w:t>2</w:t>
            </w:r>
            <w:r>
              <w:rPr>
                <w:rFonts w:hint="eastAsia" w:ascii="宋体" w:hAnsi="宋体" w:eastAsia="宋体" w:cs="宋体"/>
                <w:color w:val="auto"/>
                <w:kern w:val="0"/>
                <w:sz w:val="24"/>
                <w:highlight w:val="none"/>
                <w:lang w:val="en-US" w:eastAsia="zh-CN"/>
              </w:rPr>
              <w:t>=0.0274</w:t>
            </w:r>
            <w:r>
              <w:rPr>
                <w:rFonts w:hint="eastAsia" w:ascii="宋体" w:hAnsi="宋体" w:eastAsia="宋体" w:cs="宋体"/>
                <w:color w:val="auto"/>
                <w:kern w:val="0"/>
                <w:sz w:val="24"/>
                <w:highlight w:val="none"/>
              </w:rPr>
              <w:t>μSv/h</w:t>
            </w: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lang w:val="en-US" w:eastAsia="zh-CN"/>
              </w:rPr>
              <w:t>敏感目标处</w:t>
            </w:r>
            <w:r>
              <w:rPr>
                <w:rFonts w:hint="eastAsia" w:ascii="宋体" w:hAnsi="宋体" w:eastAsia="宋体" w:cs="宋体"/>
                <w:color w:val="auto"/>
                <w:sz w:val="24"/>
                <w:highlight w:val="none"/>
              </w:rPr>
              <w:t>居留</w:t>
            </w:r>
            <w:r>
              <w:rPr>
                <w:rFonts w:hint="eastAsia" w:ascii="宋体" w:hAnsi="宋体" w:eastAsia="宋体" w:cs="宋体"/>
                <w:color w:val="auto"/>
                <w:sz w:val="24"/>
                <w:highlight w:val="none"/>
                <w:lang w:val="en-US" w:eastAsia="zh-CN"/>
              </w:rPr>
              <w:t>因子取1</w:t>
            </w:r>
            <w:r>
              <w:rPr>
                <w:rFonts w:hint="eastAsia" w:ascii="宋体" w:hAnsi="宋体" w:eastAsia="宋体" w:cs="宋体"/>
                <w:b w:val="0"/>
                <w:bCs w:val="0"/>
                <w:color w:val="auto"/>
                <w:sz w:val="24"/>
                <w:szCs w:val="24"/>
                <w:highlight w:val="none"/>
              </w:rPr>
              <w:t>进</w:t>
            </w:r>
            <w:r>
              <w:rPr>
                <w:rFonts w:hint="eastAsia" w:ascii="宋体" w:hAnsi="宋体" w:eastAsia="宋体" w:cs="宋体"/>
                <w:color w:val="auto"/>
                <w:sz w:val="24"/>
                <w:highlight w:val="none"/>
              </w:rPr>
              <w:t>行计算</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得到最近敏感目标处公众人员年附加有效剂量为0.028</w:t>
            </w:r>
            <w:r>
              <w:rPr>
                <w:rFonts w:hint="eastAsia" w:ascii="宋体" w:hAnsi="宋体" w:eastAsia="宋体" w:cs="宋体"/>
                <w:b w:val="0"/>
                <w:bCs w:val="0"/>
                <w:color w:val="auto"/>
                <w:sz w:val="24"/>
                <w:szCs w:val="24"/>
                <w:highlight w:val="none"/>
                <w:lang w:val="en-US" w:eastAsia="zh-CN"/>
              </w:rPr>
              <w:t>mSv</w:t>
            </w:r>
            <w:r>
              <w:rPr>
                <w:rFonts w:hint="eastAsia" w:ascii="宋体" w:hAnsi="宋体" w:eastAsia="宋体" w:cs="宋体"/>
                <w:b w:val="0"/>
                <w:bCs w:val="0"/>
                <w:color w:val="auto"/>
                <w:sz w:val="24"/>
                <w:szCs w:val="24"/>
                <w:highlight w:val="none"/>
                <w:vertAlign w:val="baseline"/>
                <w:lang w:eastAsia="zh-CN"/>
              </w:rPr>
              <w:t>，</w:t>
            </w:r>
            <w:r>
              <w:rPr>
                <w:rFonts w:hint="eastAsia" w:ascii="宋体" w:hAnsi="宋体" w:eastAsia="宋体" w:cs="宋体"/>
                <w:b w:val="0"/>
                <w:bCs w:val="0"/>
                <w:color w:val="auto"/>
                <w:sz w:val="24"/>
                <w:szCs w:val="24"/>
                <w:highlight w:val="none"/>
                <w:vertAlign w:val="baseline"/>
                <w:lang w:val="en-US" w:eastAsia="zh-CN"/>
              </w:rPr>
              <w:t>能够</w:t>
            </w:r>
            <w:r>
              <w:rPr>
                <w:rFonts w:hint="eastAsia" w:ascii="宋体" w:hAnsi="宋体" w:eastAsia="宋体" w:cs="宋体"/>
                <w:color w:val="auto"/>
                <w:sz w:val="24"/>
                <w:highlight w:val="none"/>
              </w:rPr>
              <w:t>满足《电离辐射防护与辐射源安全基本标准》（GB18871-2002）</w:t>
            </w:r>
            <w:r>
              <w:rPr>
                <w:rFonts w:hint="eastAsia" w:ascii="宋体" w:hAnsi="宋体" w:eastAsia="宋体" w:cs="宋体"/>
                <w:color w:val="auto"/>
                <w:sz w:val="24"/>
                <w:highlight w:val="none"/>
                <w:lang w:val="en-US" w:eastAsia="zh-CN"/>
              </w:rPr>
              <w:t>及</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放射治疗辐射安全与防护要求</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HJ1198-2021</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highlight w:val="none"/>
              </w:rPr>
              <w:t>中低于公众人员有效剂量当量0.</w:t>
            </w:r>
            <w:r>
              <w:rPr>
                <w:rFonts w:hint="eastAsia" w:ascii="宋体" w:hAnsi="宋体" w:eastAsia="宋体" w:cs="宋体"/>
                <w:color w:val="auto"/>
                <w:sz w:val="24"/>
                <w:highlight w:val="none"/>
                <w:lang w:val="en-US" w:eastAsia="zh-CN"/>
              </w:rPr>
              <w:t>1</w:t>
            </w:r>
            <w:r>
              <w:rPr>
                <w:rFonts w:hint="eastAsia" w:ascii="宋体" w:hAnsi="宋体" w:eastAsia="宋体" w:cs="宋体"/>
                <w:color w:val="auto"/>
                <w:sz w:val="24"/>
                <w:highlight w:val="none"/>
              </w:rPr>
              <w:t>mSv</w:t>
            </w:r>
            <w:r>
              <w:rPr>
                <w:rFonts w:hint="eastAsia" w:ascii="宋体" w:hAnsi="宋体" w:eastAsia="宋体" w:cs="宋体"/>
                <w:color w:val="auto"/>
                <w:sz w:val="24"/>
                <w:highlight w:val="none"/>
                <w:lang w:val="en-US" w:eastAsia="zh-CN"/>
              </w:rPr>
              <w:t>/a</w:t>
            </w:r>
            <w:r>
              <w:rPr>
                <w:rFonts w:hint="eastAsia" w:ascii="宋体" w:hAnsi="宋体" w:eastAsia="宋体" w:cs="宋体"/>
                <w:color w:val="auto"/>
                <w:sz w:val="24"/>
                <w:highlight w:val="none"/>
              </w:rPr>
              <w:t>的约束限值的要求。因此本项目对</w:t>
            </w:r>
            <w:r>
              <w:rPr>
                <w:rFonts w:hint="eastAsia" w:ascii="宋体" w:hAnsi="宋体" w:eastAsia="宋体" w:cs="宋体"/>
                <w:color w:val="auto"/>
                <w:sz w:val="24"/>
                <w:highlight w:val="none"/>
                <w:lang w:val="en-US" w:eastAsia="zh-CN"/>
              </w:rPr>
              <w:t>敏感目标</w:t>
            </w:r>
            <w:r>
              <w:rPr>
                <w:rFonts w:hint="eastAsia" w:ascii="宋体" w:hAnsi="宋体" w:eastAsia="宋体" w:cs="宋体"/>
                <w:color w:val="auto"/>
                <w:sz w:val="24"/>
                <w:highlight w:val="none"/>
              </w:rPr>
              <w:t>的影响较小，满足各项目标准的要求。</w:t>
            </w:r>
          </w:p>
          <w:p>
            <w:pPr>
              <w:spacing w:line="360" w:lineRule="auto"/>
              <w:ind w:firstLine="480" w:firstLineChars="200"/>
              <w:jc w:val="left"/>
              <w:rPr>
                <w:rFonts w:hint="eastAsia" w:ascii="宋体" w:hAnsi="宋体" w:eastAsia="宋体" w:cs="宋体"/>
                <w:b/>
                <w:color w:val="auto"/>
                <w:sz w:val="24"/>
                <w:highlight w:val="none"/>
              </w:rPr>
            </w:pPr>
            <w:r>
              <w:rPr>
                <w:rFonts w:hint="eastAsia" w:ascii="宋体" w:hAnsi="宋体" w:eastAsia="宋体" w:cs="宋体"/>
                <w:color w:val="auto"/>
                <w:sz w:val="24"/>
                <w:highlight w:val="none"/>
              </w:rPr>
              <w:t>综上所述，本项目加速器机房的辐射防护能够满足《电离辐射防护与辐射源安全基本标准》（GB18871-2002）</w:t>
            </w:r>
            <w:r>
              <w:rPr>
                <w:rFonts w:hint="eastAsia" w:ascii="宋体" w:hAnsi="宋体" w:eastAsia="宋体" w:cs="宋体"/>
                <w:color w:val="auto"/>
                <w:sz w:val="24"/>
                <w:highlight w:val="none"/>
                <w:lang w:val="en-US" w:eastAsia="zh-CN"/>
              </w:rPr>
              <w:t>及</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放射治疗辐射安全与防护要求</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HJ1198-2021</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highlight w:val="none"/>
              </w:rPr>
              <w:t>的相关要求。</w:t>
            </w:r>
          </w:p>
          <w:p>
            <w:pPr>
              <w:spacing w:line="360" w:lineRule="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11.</w:t>
            </w:r>
            <w:r>
              <w:rPr>
                <w:rFonts w:hint="eastAsia" w:ascii="宋体" w:hAnsi="宋体" w:eastAsia="宋体" w:cs="宋体"/>
                <w:b/>
                <w:color w:val="auto"/>
                <w:sz w:val="24"/>
                <w:highlight w:val="none"/>
                <w:lang w:val="en-US" w:eastAsia="zh-CN"/>
              </w:rPr>
              <w:t>3.</w:t>
            </w:r>
            <w:r>
              <w:rPr>
                <w:rFonts w:hint="eastAsia" w:ascii="宋体" w:hAnsi="宋体" w:eastAsia="宋体" w:cs="宋体"/>
                <w:b/>
                <w:color w:val="auto"/>
                <w:sz w:val="24"/>
                <w:highlight w:val="none"/>
              </w:rPr>
              <w:t>2 加速器的其他影响分析</w:t>
            </w:r>
          </w:p>
          <w:p>
            <w:pPr>
              <w:spacing w:line="360" w:lineRule="auto"/>
              <w:ind w:firstLine="480" w:firstLineChars="200"/>
              <w:rPr>
                <w:rFonts w:hint="eastAsia" w:ascii="宋体" w:hAnsi="宋体" w:eastAsia="宋体" w:cs="宋体"/>
                <w:bCs/>
                <w:color w:val="auto"/>
                <w:sz w:val="24"/>
                <w:highlight w:val="none"/>
                <w:lang w:val="en-US" w:eastAsia="zh-CN"/>
              </w:rPr>
            </w:pPr>
            <w:r>
              <w:rPr>
                <w:rFonts w:hint="eastAsia" w:ascii="宋体" w:hAnsi="宋体" w:eastAsia="宋体" w:cs="宋体"/>
                <w:bCs/>
                <w:color w:val="auto"/>
                <w:sz w:val="24"/>
                <w:highlight w:val="none"/>
                <w:lang w:eastAsia="zh-CN"/>
              </w:rPr>
              <w:t>（</w:t>
            </w:r>
            <w:r>
              <w:rPr>
                <w:rFonts w:hint="eastAsia" w:ascii="宋体" w:hAnsi="宋体" w:eastAsia="宋体" w:cs="宋体"/>
                <w:bCs/>
                <w:color w:val="auto"/>
                <w:sz w:val="24"/>
                <w:highlight w:val="none"/>
                <w:lang w:val="en-US" w:eastAsia="zh-CN"/>
              </w:rPr>
              <w:t>1</w:t>
            </w:r>
            <w:r>
              <w:rPr>
                <w:rFonts w:hint="eastAsia" w:ascii="宋体" w:hAnsi="宋体" w:eastAsia="宋体" w:cs="宋体"/>
                <w:bCs/>
                <w:color w:val="auto"/>
                <w:sz w:val="24"/>
                <w:highlight w:val="none"/>
                <w:lang w:eastAsia="zh-CN"/>
              </w:rPr>
              <w:t>）</w:t>
            </w:r>
            <w:r>
              <w:rPr>
                <w:rFonts w:hint="eastAsia" w:ascii="宋体" w:hAnsi="宋体" w:eastAsia="宋体" w:cs="宋体"/>
                <w:bCs/>
                <w:color w:val="auto"/>
                <w:sz w:val="24"/>
                <w:highlight w:val="none"/>
                <w:lang w:val="en-US" w:eastAsia="zh-CN"/>
              </w:rPr>
              <w:t>非放射性有害气体</w:t>
            </w:r>
          </w:p>
          <w:p>
            <w:pPr>
              <w:spacing w:line="360" w:lineRule="auto"/>
              <w:ind w:firstLine="480" w:firstLineChars="200"/>
              <w:rPr>
                <w:rFonts w:hint="eastAsia" w:ascii="宋体" w:hAnsi="宋体" w:eastAsia="宋体" w:cs="宋体"/>
                <w:color w:val="auto"/>
                <w:kern w:val="0"/>
                <w:sz w:val="24"/>
                <w:highlight w:val="none"/>
                <w:lang w:val="en-US" w:eastAsia="zh-CN"/>
              </w:rPr>
            </w:pPr>
            <w:r>
              <w:rPr>
                <w:rFonts w:hint="eastAsia" w:ascii="宋体" w:hAnsi="宋体" w:eastAsia="宋体" w:cs="宋体"/>
                <w:bCs/>
                <w:color w:val="auto"/>
                <w:sz w:val="24"/>
                <w:highlight w:val="none"/>
              </w:rPr>
              <w:t>加速器运行时发射X射线，照射空气相互作用产生微量的臭氧和氮氧化物。经过良好的通风排入到空气中，可以自行分解，</w:t>
            </w:r>
            <w:r>
              <w:rPr>
                <w:rFonts w:hint="eastAsia" w:ascii="宋体" w:hAnsi="宋体" w:eastAsia="宋体" w:cs="宋体"/>
                <w:color w:val="auto"/>
                <w:kern w:val="0"/>
                <w:sz w:val="24"/>
                <w:highlight w:val="none"/>
              </w:rPr>
              <w:t>由于产生的臭氧和氮氧化物量很少</w:t>
            </w: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rPr>
              <w:t>且安装有通风系统，</w:t>
            </w:r>
            <w:r>
              <w:rPr>
                <w:rFonts w:hint="eastAsia" w:ascii="宋体" w:hAnsi="宋体" w:eastAsia="宋体" w:cs="宋体"/>
                <w:bCs/>
                <w:color w:val="auto"/>
                <w:sz w:val="24"/>
                <w:highlight w:val="none"/>
              </w:rPr>
              <w:t>通风次数大于4次/h，可明显降低其浓度</w:t>
            </w:r>
            <w:r>
              <w:rPr>
                <w:rFonts w:hint="eastAsia" w:ascii="宋体" w:hAnsi="宋体" w:eastAsia="宋体" w:cs="宋体"/>
                <w:bCs/>
                <w:color w:val="auto"/>
                <w:sz w:val="24"/>
                <w:highlight w:val="none"/>
                <w:lang w:eastAsia="zh-CN"/>
              </w:rPr>
              <w:t>，</w:t>
            </w:r>
            <w:r>
              <w:rPr>
                <w:rFonts w:hint="eastAsia" w:ascii="宋体" w:hAnsi="宋体" w:eastAsia="宋体" w:cs="宋体"/>
                <w:bCs/>
                <w:color w:val="auto"/>
                <w:sz w:val="24"/>
                <w:highlight w:val="none"/>
                <w:lang w:val="en-US" w:eastAsia="zh-CN"/>
              </w:rPr>
              <w:t>对空气环境影响较小</w:t>
            </w:r>
            <w:r>
              <w:rPr>
                <w:rFonts w:hint="eastAsia" w:ascii="宋体" w:hAnsi="宋体" w:eastAsia="宋体" w:cs="宋体"/>
                <w:color w:val="auto"/>
                <w:kern w:val="0"/>
                <w:sz w:val="24"/>
                <w:highlight w:val="none"/>
              </w:rPr>
              <w:t>。</w:t>
            </w:r>
            <w:r>
              <w:rPr>
                <w:rFonts w:hint="eastAsia" w:ascii="宋体" w:hAnsi="宋体" w:eastAsia="宋体" w:cs="宋体"/>
                <w:bCs/>
                <w:color w:val="auto"/>
                <w:sz w:val="24"/>
                <w:highlight w:val="none"/>
              </w:rPr>
              <w:t>臭氧（O</w:t>
            </w:r>
            <w:r>
              <w:rPr>
                <w:rFonts w:hint="eastAsia" w:ascii="宋体" w:hAnsi="宋体" w:eastAsia="宋体" w:cs="宋体"/>
                <w:bCs/>
                <w:color w:val="auto"/>
                <w:sz w:val="24"/>
                <w:highlight w:val="none"/>
                <w:vertAlign w:val="subscript"/>
              </w:rPr>
              <w:t>3</w:t>
            </w:r>
            <w:r>
              <w:rPr>
                <w:rFonts w:hint="eastAsia" w:ascii="宋体" w:hAnsi="宋体" w:eastAsia="宋体" w:cs="宋体"/>
                <w:bCs/>
                <w:color w:val="auto"/>
                <w:sz w:val="24"/>
                <w:highlight w:val="none"/>
              </w:rPr>
              <w:t>）和氮氧化物（NO</w:t>
            </w:r>
            <w:r>
              <w:rPr>
                <w:rFonts w:hint="eastAsia" w:ascii="宋体" w:hAnsi="宋体" w:eastAsia="宋体" w:cs="宋体"/>
                <w:bCs/>
                <w:color w:val="auto"/>
                <w:sz w:val="24"/>
                <w:highlight w:val="none"/>
                <w:vertAlign w:val="subscript"/>
              </w:rPr>
              <w:t>X</w:t>
            </w:r>
            <w:r>
              <w:rPr>
                <w:rFonts w:hint="eastAsia" w:ascii="宋体" w:hAnsi="宋体" w:eastAsia="宋体" w:cs="宋体"/>
                <w:bCs/>
                <w:color w:val="auto"/>
                <w:sz w:val="24"/>
                <w:highlight w:val="none"/>
              </w:rPr>
              <w:t>）</w:t>
            </w:r>
            <w:r>
              <w:rPr>
                <w:rFonts w:hint="eastAsia" w:ascii="宋体" w:hAnsi="宋体" w:eastAsia="宋体" w:cs="宋体"/>
                <w:bCs/>
                <w:color w:val="auto"/>
                <w:sz w:val="24"/>
                <w:highlight w:val="none"/>
                <w:lang w:eastAsia="zh-CN"/>
              </w:rPr>
              <w:t>产生量很少，通过通风系统排入外环境，排风口属于无组织排放，排风口高于机房所在建筑顶部，本项目臭氧和氮氧化物排放量较少，对</w:t>
            </w:r>
            <w:r>
              <w:rPr>
                <w:rFonts w:hint="eastAsia" w:ascii="宋体" w:hAnsi="宋体" w:eastAsia="宋体" w:cs="宋体"/>
                <w:bCs/>
                <w:color w:val="auto"/>
                <w:sz w:val="24"/>
                <w:highlight w:val="none"/>
                <w:lang w:val="en-US" w:eastAsia="zh-CN"/>
              </w:rPr>
              <w:t>空气</w:t>
            </w:r>
            <w:r>
              <w:rPr>
                <w:rFonts w:hint="eastAsia" w:ascii="宋体" w:hAnsi="宋体" w:eastAsia="宋体" w:cs="宋体"/>
                <w:bCs/>
                <w:color w:val="auto"/>
                <w:sz w:val="24"/>
                <w:highlight w:val="none"/>
                <w:lang w:eastAsia="zh-CN"/>
              </w:rPr>
              <w:t>环境影响相</w:t>
            </w:r>
            <w:r>
              <w:rPr>
                <w:rFonts w:hint="eastAsia" w:ascii="宋体" w:hAnsi="宋体" w:eastAsia="宋体" w:cs="宋体"/>
                <w:bCs/>
                <w:color w:val="auto"/>
                <w:sz w:val="24"/>
                <w:highlight w:val="none"/>
                <w:lang w:val="en-US" w:eastAsia="zh-CN"/>
              </w:rPr>
              <w:t>对</w:t>
            </w:r>
            <w:r>
              <w:rPr>
                <w:rFonts w:hint="eastAsia" w:ascii="宋体" w:hAnsi="宋体" w:eastAsia="宋体" w:cs="宋体"/>
                <w:bCs/>
                <w:color w:val="auto"/>
                <w:sz w:val="24"/>
                <w:highlight w:val="none"/>
                <w:lang w:eastAsia="zh-CN"/>
              </w:rPr>
              <w:t>较小，对周边的环境影响可接受。</w:t>
            </w:r>
          </w:p>
          <w:p>
            <w:pPr>
              <w:autoSpaceDE w:val="0"/>
              <w:autoSpaceDN w:val="0"/>
              <w:adjustRightInd w:val="0"/>
              <w:spacing w:line="360" w:lineRule="auto"/>
              <w:ind w:firstLine="465"/>
              <w:jc w:val="left"/>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lang w:val="en-US" w:eastAsia="zh-CN"/>
              </w:rPr>
              <w:t>2</w:t>
            </w:r>
            <w:r>
              <w:rPr>
                <w:rFonts w:hint="eastAsia" w:ascii="宋体" w:hAnsi="宋体" w:eastAsia="宋体" w:cs="宋体"/>
                <w:color w:val="auto"/>
                <w:kern w:val="0"/>
                <w:sz w:val="24"/>
                <w:highlight w:val="none"/>
                <w:lang w:eastAsia="zh-CN"/>
              </w:rPr>
              <w:t>）</w:t>
            </w:r>
            <w:r>
              <w:rPr>
                <w:rFonts w:hint="eastAsia" w:ascii="宋体" w:hAnsi="宋体" w:eastAsia="宋体" w:cs="宋体"/>
                <w:color w:val="auto"/>
                <w:kern w:val="0"/>
                <w:sz w:val="24"/>
                <w:highlight w:val="none"/>
                <w:lang w:val="en-US" w:eastAsia="zh-CN"/>
              </w:rPr>
              <w:t>固废</w:t>
            </w:r>
          </w:p>
          <w:p>
            <w:pPr>
              <w:pStyle w:val="25"/>
              <w:spacing w:line="360" w:lineRule="auto"/>
              <w:ind w:firstLine="480" w:firstLineChars="200"/>
              <w:rPr>
                <w:rFonts w:hint="eastAsia" w:ascii="宋体" w:hAnsi="宋体" w:eastAsia="宋体" w:cs="宋体"/>
                <w:color w:val="auto"/>
                <w:kern w:val="0"/>
                <w:sz w:val="24"/>
                <w:highlight w:val="none"/>
                <w:lang w:eastAsia="zh-CN"/>
              </w:rPr>
            </w:pPr>
            <w:r>
              <w:rPr>
                <w:rFonts w:hint="eastAsia" w:ascii="宋体" w:hAnsi="宋体" w:eastAsia="宋体" w:cs="宋体"/>
                <w:color w:val="auto"/>
                <w:kern w:val="0"/>
                <w:sz w:val="24"/>
                <w:highlight w:val="none"/>
                <w:lang w:val="en-US" w:eastAsia="zh-CN"/>
              </w:rPr>
              <w:t>更换下来的</w:t>
            </w:r>
            <w:r>
              <w:rPr>
                <w:rFonts w:hint="eastAsia" w:ascii="宋体" w:hAnsi="宋体" w:eastAsia="宋体" w:cs="宋体"/>
                <w:color w:val="auto"/>
                <w:kern w:val="0"/>
                <w:sz w:val="24"/>
                <w:highlight w:val="none"/>
              </w:rPr>
              <w:t>废靶件</w:t>
            </w:r>
            <w:r>
              <w:rPr>
                <w:rFonts w:hint="eastAsia" w:ascii="宋体" w:hAnsi="宋体" w:eastAsia="宋体" w:cs="宋体"/>
                <w:color w:val="auto"/>
                <w:kern w:val="0"/>
                <w:sz w:val="24"/>
                <w:highlight w:val="none"/>
                <w:lang w:eastAsia="zh-CN"/>
              </w:rPr>
              <w:t>送黑龙江省城市放射性废物贮存库</w:t>
            </w:r>
            <w:r>
              <w:rPr>
                <w:rFonts w:hint="eastAsia" w:ascii="宋体" w:hAnsi="宋体" w:eastAsia="宋体" w:cs="宋体"/>
                <w:color w:val="auto"/>
                <w:kern w:val="0"/>
                <w:sz w:val="24"/>
                <w:highlight w:val="none"/>
              </w:rPr>
              <w:t>，任何情况下不得私自处置，因此放射性废物正常情况下不会对环境造成影响</w:t>
            </w:r>
            <w:r>
              <w:rPr>
                <w:rFonts w:hint="eastAsia" w:ascii="宋体" w:hAnsi="宋体" w:eastAsia="宋体" w:cs="宋体"/>
                <w:color w:val="auto"/>
                <w:kern w:val="0"/>
                <w:sz w:val="24"/>
                <w:highlight w:val="none"/>
                <w:lang w:eastAsia="zh-CN"/>
              </w:rPr>
              <w:t>。</w:t>
            </w:r>
          </w:p>
          <w:p>
            <w:pPr>
              <w:pStyle w:val="25"/>
              <w:spacing w:line="360" w:lineRule="auto"/>
              <w:ind w:firstLine="480" w:firstLineChars="200"/>
              <w:rPr>
                <w:rFonts w:hint="eastAsia" w:ascii="宋体" w:hAnsi="宋体" w:eastAsia="宋体" w:cs="宋体"/>
                <w:color w:val="auto"/>
                <w:highlight w:val="none"/>
                <w:lang w:val="en-US" w:eastAsia="zh-CN"/>
              </w:rPr>
            </w:pPr>
            <w:r>
              <w:rPr>
                <w:rFonts w:hint="eastAsia" w:ascii="宋体" w:hAnsi="宋体" w:eastAsia="宋体" w:cs="宋体"/>
                <w:color w:val="auto"/>
                <w:sz w:val="24"/>
                <w:highlight w:val="none"/>
              </w:rPr>
              <w:t>本项目不新增工作人员</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rPr>
              <w:t>在医院内部调剂</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rPr>
              <w:t>因此，本项目工作人员不新增生活垃圾，</w:t>
            </w:r>
            <w:r>
              <w:rPr>
                <w:rFonts w:hint="eastAsia" w:ascii="宋体" w:hAnsi="宋体" w:eastAsia="宋体" w:cs="宋体"/>
                <w:color w:val="auto"/>
                <w:kern w:val="0"/>
                <w:sz w:val="24"/>
                <w:highlight w:val="none"/>
              </w:rPr>
              <w:t>生活垃圾</w:t>
            </w:r>
            <w:r>
              <w:rPr>
                <w:rFonts w:hint="eastAsia" w:ascii="宋体" w:hAnsi="宋体" w:eastAsia="宋体" w:cs="宋体"/>
                <w:color w:val="auto"/>
                <w:sz w:val="24"/>
                <w:highlight w:val="none"/>
              </w:rPr>
              <w:t>依托医院原有设施</w:t>
            </w:r>
            <w:r>
              <w:rPr>
                <w:rFonts w:hint="eastAsia" w:ascii="宋体" w:hAnsi="宋体" w:eastAsia="宋体" w:cs="宋体"/>
                <w:color w:val="auto"/>
                <w:kern w:val="0"/>
                <w:sz w:val="24"/>
                <w:highlight w:val="none"/>
              </w:rPr>
              <w:t>，统一收集后交由环卫部门统一处理。</w:t>
            </w:r>
            <w:r>
              <w:rPr>
                <w:rFonts w:hint="eastAsia" w:ascii="宋体" w:hAnsi="宋体" w:eastAsia="宋体" w:cs="宋体"/>
                <w:color w:val="auto"/>
                <w:kern w:val="0"/>
                <w:sz w:val="24"/>
                <w:highlight w:val="none"/>
                <w:lang w:val="en-US" w:eastAsia="zh-CN"/>
              </w:rPr>
              <w:t>产生的少量医疗废物暂存于现有医疗废物暂存间，交由资质单位处置。</w:t>
            </w:r>
          </w:p>
          <w:p>
            <w:pPr>
              <w:pStyle w:val="25"/>
              <w:spacing w:line="360" w:lineRule="auto"/>
              <w:ind w:firstLine="480" w:firstLineChars="200"/>
              <w:rPr>
                <w:rFonts w:hint="eastAsia" w:ascii="宋体" w:hAnsi="宋体" w:eastAsia="宋体" w:cs="宋体"/>
                <w:bCs/>
                <w:color w:val="auto"/>
                <w:kern w:val="2"/>
                <w:sz w:val="24"/>
                <w:szCs w:val="24"/>
                <w:highlight w:val="none"/>
                <w:lang w:val="en-US" w:eastAsia="zh-CN" w:bidi="ar-SA"/>
              </w:rPr>
            </w:pPr>
            <w:r>
              <w:rPr>
                <w:rFonts w:hint="eastAsia" w:ascii="宋体" w:hAnsi="宋体" w:eastAsia="宋体" w:cs="宋体"/>
                <w:bCs/>
                <w:color w:val="auto"/>
                <w:kern w:val="2"/>
                <w:sz w:val="24"/>
                <w:szCs w:val="24"/>
                <w:highlight w:val="none"/>
                <w:lang w:val="en-US" w:eastAsia="zh-CN" w:bidi="ar-SA"/>
              </w:rPr>
              <w:t>（3）废水</w:t>
            </w:r>
          </w:p>
          <w:p>
            <w:pPr>
              <w:pStyle w:val="25"/>
              <w:spacing w:line="360" w:lineRule="auto"/>
              <w:ind w:firstLine="480" w:firstLineChars="200"/>
              <w:rPr>
                <w:rFonts w:hint="eastAsia" w:ascii="宋体" w:hAnsi="宋体" w:eastAsia="宋体" w:cs="宋体"/>
                <w:bCs/>
                <w:color w:val="auto"/>
                <w:kern w:val="2"/>
                <w:sz w:val="24"/>
                <w:szCs w:val="24"/>
                <w:highlight w:val="none"/>
                <w:lang w:val="en-US" w:eastAsia="zh-CN" w:bidi="ar-SA"/>
              </w:rPr>
            </w:pPr>
            <w:r>
              <w:rPr>
                <w:rFonts w:hint="eastAsia" w:ascii="宋体" w:hAnsi="宋体" w:eastAsia="宋体" w:cs="宋体"/>
                <w:bCs/>
                <w:color w:val="auto"/>
                <w:kern w:val="2"/>
                <w:sz w:val="24"/>
                <w:szCs w:val="24"/>
                <w:highlight w:val="none"/>
                <w:lang w:val="en-US" w:eastAsia="zh-CN" w:bidi="ar-SA"/>
              </w:rPr>
              <w:t>本项目加速器使用的冷却水均为蒸馏水，一次循环、二次循环用水不外排，在使用过程中会有少量蒸发损失，及时补充。本项目无外排废水，因此不产生放射性的废液或废水，</w:t>
            </w:r>
            <w:r>
              <w:rPr>
                <w:rFonts w:hint="eastAsia" w:ascii="宋体" w:hAnsi="宋体" w:eastAsia="宋体" w:cs="宋体"/>
                <w:color w:val="auto"/>
                <w:sz w:val="24"/>
                <w:highlight w:val="none"/>
              </w:rPr>
              <w:t>本项目不新增工作人员</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rPr>
              <w:t>在医院内部调剂</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rPr>
              <w:t>因此，本项目工作人员不新增生活废水，</w:t>
            </w:r>
            <w:r>
              <w:rPr>
                <w:rFonts w:hint="eastAsia" w:ascii="宋体" w:hAnsi="宋体" w:eastAsia="宋体" w:cs="宋体"/>
                <w:color w:val="auto"/>
                <w:kern w:val="0"/>
                <w:sz w:val="24"/>
                <w:highlight w:val="none"/>
              </w:rPr>
              <w:t>生活污水利用现有的污水处理系统进行处置，</w:t>
            </w:r>
            <w:r>
              <w:rPr>
                <w:rFonts w:hint="eastAsia" w:ascii="宋体" w:hAnsi="宋体" w:eastAsia="宋体" w:cs="宋体"/>
                <w:bCs/>
                <w:color w:val="auto"/>
                <w:kern w:val="2"/>
                <w:sz w:val="24"/>
                <w:szCs w:val="24"/>
                <w:highlight w:val="none"/>
                <w:lang w:val="en-US" w:eastAsia="zh-CN" w:bidi="ar-SA"/>
              </w:rPr>
              <w:t>因此本项目不会对水环境造成影响。</w:t>
            </w:r>
          </w:p>
          <w:p>
            <w:pPr>
              <w:pStyle w:val="25"/>
              <w:numPr>
                <w:ilvl w:val="0"/>
                <w:numId w:val="0"/>
              </w:numPr>
              <w:spacing w:line="360" w:lineRule="auto"/>
              <w:ind w:firstLine="480" w:firstLineChars="200"/>
              <w:rPr>
                <w:rFonts w:hint="eastAsia" w:ascii="宋体" w:hAnsi="宋体" w:eastAsia="宋体" w:cs="宋体"/>
                <w:bCs/>
                <w:color w:val="auto"/>
                <w:kern w:val="2"/>
                <w:sz w:val="24"/>
                <w:szCs w:val="24"/>
                <w:highlight w:val="none"/>
                <w:lang w:val="en-US" w:eastAsia="zh-CN" w:bidi="ar-SA"/>
              </w:rPr>
            </w:pPr>
            <w:r>
              <w:rPr>
                <w:rFonts w:hint="eastAsia" w:ascii="宋体" w:hAnsi="宋体" w:eastAsia="宋体" w:cs="宋体"/>
                <w:bCs/>
                <w:color w:val="auto"/>
                <w:kern w:val="2"/>
                <w:sz w:val="24"/>
                <w:szCs w:val="24"/>
                <w:highlight w:val="none"/>
                <w:lang w:val="en-US" w:eastAsia="zh-CN" w:bidi="ar-SA"/>
              </w:rPr>
              <w:t>（4）噪声</w:t>
            </w:r>
          </w:p>
          <w:p>
            <w:pPr>
              <w:pStyle w:val="25"/>
              <w:numPr>
                <w:ilvl w:val="0"/>
                <w:numId w:val="0"/>
              </w:numPr>
              <w:spacing w:line="360" w:lineRule="auto"/>
              <w:ind w:firstLine="480" w:firstLineChars="200"/>
              <w:rPr>
                <w:rFonts w:hint="eastAsia" w:ascii="宋体" w:hAnsi="宋体" w:eastAsia="宋体" w:cs="宋体"/>
                <w:color w:val="0000FF"/>
                <w:kern w:val="0"/>
                <w:sz w:val="24"/>
                <w:highlight w:val="none"/>
              </w:rPr>
            </w:pPr>
            <w:r>
              <w:rPr>
                <w:rFonts w:hint="eastAsia" w:ascii="宋体" w:hAnsi="宋体" w:eastAsia="宋体" w:cs="宋体"/>
                <w:bCs/>
                <w:color w:val="auto"/>
                <w:kern w:val="2"/>
                <w:sz w:val="24"/>
                <w:szCs w:val="24"/>
                <w:highlight w:val="none"/>
                <w:lang w:val="en-US" w:eastAsia="zh-CN" w:bidi="ar-SA"/>
              </w:rPr>
              <w:t>本项目运行过程中，循环水泵会产生噪声，源强约为70dB(A)，循环水泵位于设备机房，通过选取低噪设备、房间隔声等措施后，设备机房外噪声值能够满足《工业企业厂界环境噪声排放标准》（GB12348-2008）中2类标准的要求。</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2" w:hRule="atLeast"/>
        </w:trPr>
        <w:tc>
          <w:tcPr>
            <w:tcW w:w="8933" w:type="dxa"/>
          </w:tcPr>
          <w:p>
            <w:pPr>
              <w:spacing w:line="360" w:lineRule="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11.</w:t>
            </w:r>
            <w:r>
              <w:rPr>
                <w:rFonts w:hint="eastAsia" w:ascii="宋体" w:hAnsi="宋体" w:eastAsia="宋体" w:cs="宋体"/>
                <w:b/>
                <w:color w:val="auto"/>
                <w:sz w:val="24"/>
                <w:highlight w:val="none"/>
                <w:lang w:val="en-US" w:eastAsia="zh-CN"/>
              </w:rPr>
              <w:t>4</w:t>
            </w:r>
            <w:r>
              <w:rPr>
                <w:rFonts w:hint="eastAsia" w:ascii="宋体" w:hAnsi="宋体" w:eastAsia="宋体" w:cs="宋体"/>
                <w:b/>
                <w:color w:val="auto"/>
                <w:sz w:val="24"/>
                <w:highlight w:val="none"/>
              </w:rPr>
              <w:t>事故影响分析</w:t>
            </w:r>
          </w:p>
          <w:p>
            <w:pPr>
              <w:spacing w:line="360" w:lineRule="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11.</w:t>
            </w:r>
            <w:r>
              <w:rPr>
                <w:rFonts w:hint="eastAsia" w:ascii="宋体" w:hAnsi="宋体" w:eastAsia="宋体" w:cs="宋体"/>
                <w:b/>
                <w:color w:val="auto"/>
                <w:sz w:val="24"/>
                <w:highlight w:val="none"/>
                <w:lang w:val="en-US" w:eastAsia="zh-CN"/>
              </w:rPr>
              <w:t>4</w:t>
            </w:r>
            <w:r>
              <w:rPr>
                <w:rFonts w:hint="eastAsia" w:ascii="宋体" w:hAnsi="宋体" w:eastAsia="宋体" w:cs="宋体"/>
                <w:b/>
                <w:color w:val="auto"/>
                <w:sz w:val="24"/>
                <w:highlight w:val="none"/>
              </w:rPr>
              <w:t>.1 事故工况污染途径</w:t>
            </w:r>
          </w:p>
          <w:p>
            <w:pPr>
              <w:spacing w:line="360" w:lineRule="auto"/>
              <w:ind w:firstLine="480" w:firstLineChars="200"/>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该单位使用的加速器可能发生的事故工况主要有以下几种情况：</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（1）加速器发生故障或人员疏忽，造成剂量设置错误，使受检者或工作人员受到超剂量照射。</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（2）人员误入加速器机房未及时发现受到辐射照射。</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（3）工作人员未按照操作规程进行操作，未及时停止机器运行和关闭防护门，使工作人员及公众人员受到照射。</w:t>
            </w:r>
          </w:p>
          <w:p>
            <w:pPr>
              <w:tabs>
                <w:tab w:val="left" w:pos="3450"/>
              </w:tabs>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（4）患者进出门损坏，未及时维修，公众人员误打开，受到意外照射。</w:t>
            </w:r>
          </w:p>
          <w:p>
            <w:pPr>
              <w:tabs>
                <w:tab w:val="left" w:pos="3450"/>
              </w:tabs>
              <w:spacing w:line="360" w:lineRule="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11.</w:t>
            </w:r>
            <w:r>
              <w:rPr>
                <w:rFonts w:hint="eastAsia" w:ascii="宋体" w:hAnsi="宋体" w:eastAsia="宋体" w:cs="宋体"/>
                <w:b/>
                <w:color w:val="auto"/>
                <w:sz w:val="24"/>
                <w:highlight w:val="none"/>
                <w:lang w:val="en-US" w:eastAsia="zh-CN"/>
              </w:rPr>
              <w:t>4</w:t>
            </w:r>
            <w:r>
              <w:rPr>
                <w:rFonts w:hint="eastAsia" w:ascii="宋体" w:hAnsi="宋体" w:eastAsia="宋体" w:cs="宋体"/>
                <w:b/>
                <w:color w:val="auto"/>
                <w:sz w:val="24"/>
                <w:highlight w:val="none"/>
              </w:rPr>
              <w:t>.2 预防措施</w:t>
            </w:r>
            <w:r>
              <w:rPr>
                <w:rFonts w:hint="eastAsia" w:ascii="宋体" w:hAnsi="宋体" w:eastAsia="宋体" w:cs="宋体"/>
                <w:b/>
                <w:color w:val="auto"/>
                <w:sz w:val="24"/>
                <w:highlight w:val="none"/>
              </w:rPr>
              <w:tab/>
            </w:r>
          </w:p>
          <w:p>
            <w:pPr>
              <w:numPr>
                <w:ilvl w:val="0"/>
                <w:numId w:val="6"/>
              </w:numPr>
              <w:spacing w:line="360" w:lineRule="auto"/>
              <w:ind w:firstLine="480" w:firstLineChars="200"/>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辐射工作人员必须严格按照射线装置操作程序进行操作，每日检查防护门上的联锁装置、灯光警示装置是否正常，如果失灵，应立即修理，恢复正常，防止事故照射的发生。</w:t>
            </w:r>
          </w:p>
          <w:p>
            <w:pPr>
              <w:pStyle w:val="31"/>
              <w:numPr>
                <w:ilvl w:val="0"/>
                <w:numId w:val="6"/>
              </w:numPr>
              <w:spacing w:line="360" w:lineRule="auto"/>
              <w:ind w:firstLineChars="0"/>
              <w:jc w:val="left"/>
              <w:rPr>
                <w:rFonts w:hint="eastAsia" w:ascii="宋体" w:hAnsi="宋体" w:eastAsia="宋体" w:cs="宋体"/>
                <w:color w:val="auto"/>
                <w:kern w:val="0"/>
                <w:sz w:val="24"/>
                <w:highlight w:val="none"/>
              </w:rPr>
            </w:pPr>
            <w:r>
              <w:rPr>
                <w:rFonts w:hint="eastAsia" w:ascii="宋体" w:hAnsi="宋体" w:eastAsia="宋体" w:cs="宋体"/>
                <w:color w:val="auto"/>
                <w:sz w:val="24"/>
                <w:highlight w:val="none"/>
              </w:rPr>
              <w:t>为防止陪护人员或其他人员误入在加速器机房内受到误照射，要求加速器在每次出束前，工作人员必须进机房进行检查，确认无误后，方可出束。</w:t>
            </w:r>
            <w:r>
              <w:rPr>
                <w:rFonts w:hint="eastAsia" w:ascii="宋体" w:hAnsi="宋体" w:eastAsia="宋体" w:cs="宋体"/>
                <w:color w:val="auto"/>
                <w:kern w:val="0"/>
                <w:sz w:val="24"/>
                <w:highlight w:val="none"/>
              </w:rPr>
              <w:t>加速器装置加强安全保卫措施，无关人员禁止进入工作场所。工作</w:t>
            </w:r>
            <w:r>
              <w:rPr>
                <w:rFonts w:hint="eastAsia" w:ascii="宋体" w:hAnsi="宋体" w:eastAsia="宋体" w:cs="宋体"/>
                <w:color w:val="auto"/>
                <w:sz w:val="24"/>
                <w:highlight w:val="none"/>
              </w:rPr>
              <w:t>人员须佩戴个人剂量报警仪后才能进入加速器机房。一旦出现误入情况，报警仪会提醒工作人员，立即撤出。</w:t>
            </w:r>
          </w:p>
          <w:p>
            <w:pPr>
              <w:numPr>
                <w:ilvl w:val="0"/>
                <w:numId w:val="6"/>
              </w:numPr>
              <w:spacing w:line="360" w:lineRule="auto"/>
              <w:ind w:firstLine="480" w:firstLineChars="200"/>
              <w:rPr>
                <w:rFonts w:hint="eastAsia" w:ascii="宋体" w:hAnsi="宋体" w:eastAsia="宋体" w:cs="宋体"/>
                <w:color w:val="auto"/>
                <w:kern w:val="0"/>
                <w:sz w:val="24"/>
                <w:highlight w:val="none"/>
              </w:rPr>
            </w:pPr>
            <w:r>
              <w:rPr>
                <w:rFonts w:hint="eastAsia" w:ascii="宋体" w:hAnsi="宋体" w:eastAsia="宋体" w:cs="宋体"/>
                <w:color w:val="auto"/>
                <w:sz w:val="24"/>
                <w:highlight w:val="none"/>
              </w:rPr>
              <w:t>在维修加速器时</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rPr>
              <w:t xml:space="preserve">按下急停开关，或保持防护门开启，这种情况下，加速器无法启动。此外，维修人员携带有个人剂量报警仪，一旦有紧急情况，马上按下墙上的急停按钮，并迅速撤离现场。 </w:t>
            </w:r>
          </w:p>
          <w:p>
            <w:pPr>
              <w:pStyle w:val="25"/>
              <w:spacing w:line="360" w:lineRule="auto"/>
              <w:ind w:firstLine="480" w:firstLineChars="200"/>
              <w:rPr>
                <w:rFonts w:hint="eastAsia" w:ascii="宋体" w:hAnsi="宋体" w:eastAsia="宋体" w:cs="宋体"/>
                <w:color w:val="auto"/>
                <w:highlight w:val="none"/>
              </w:rPr>
            </w:pPr>
            <w:r>
              <w:rPr>
                <w:rFonts w:hint="eastAsia" w:ascii="宋体" w:hAnsi="宋体" w:eastAsia="宋体" w:cs="宋体"/>
                <w:color w:val="auto"/>
                <w:highlight w:val="none"/>
              </w:rPr>
              <w:t>（4）每日检查防护门是否正常，发现问题及时维修。</w:t>
            </w:r>
          </w:p>
          <w:p>
            <w:pPr>
              <w:autoSpaceDE w:val="0"/>
              <w:autoSpaceDN w:val="0"/>
              <w:adjustRightInd w:val="0"/>
              <w:spacing w:line="360" w:lineRule="auto"/>
              <w:ind w:firstLine="465"/>
              <w:jc w:val="left"/>
              <w:rPr>
                <w:rFonts w:hint="eastAsia" w:ascii="宋体" w:hAnsi="宋体" w:eastAsia="宋体" w:cs="宋体"/>
                <w:color w:val="0000FF"/>
                <w:kern w:val="0"/>
                <w:sz w:val="24"/>
                <w:highlight w:val="none"/>
              </w:rPr>
            </w:pPr>
            <w:r>
              <w:rPr>
                <w:rFonts w:hint="eastAsia" w:ascii="宋体" w:hAnsi="宋体" w:eastAsia="宋体" w:cs="宋体"/>
                <w:color w:val="auto"/>
                <w:kern w:val="0"/>
                <w:sz w:val="24"/>
                <w:highlight w:val="none"/>
              </w:rPr>
              <w:t>发生辐射事故时，事故单位辐射安全管理</w:t>
            </w:r>
            <w:r>
              <w:rPr>
                <w:rFonts w:hint="eastAsia" w:ascii="宋体" w:hAnsi="宋体" w:eastAsia="宋体" w:cs="宋体"/>
                <w:color w:val="auto"/>
                <w:kern w:val="0"/>
                <w:sz w:val="24"/>
                <w:highlight w:val="none"/>
                <w:lang w:val="en-US" w:eastAsia="zh-CN"/>
              </w:rPr>
              <w:t>小组</w:t>
            </w:r>
            <w:r>
              <w:rPr>
                <w:rFonts w:hint="eastAsia" w:ascii="宋体" w:hAnsi="宋体" w:eastAsia="宋体" w:cs="宋体"/>
                <w:color w:val="auto"/>
                <w:kern w:val="0"/>
                <w:sz w:val="24"/>
                <w:highlight w:val="none"/>
              </w:rPr>
              <w:t>接到报告后应当立即启动本单位的辐射事故应急方案，采取必要防范措施，并在2小时内填写《辐射事故初始报告表》，向当地环境保护部门报告，造成或可能造成人员超剂量照射的，还应同时向当地卫生行政部门报告。</w:t>
            </w:r>
          </w:p>
        </w:tc>
      </w:tr>
    </w:tbl>
    <w:p>
      <w:pPr>
        <w:ind w:firstLine="420"/>
        <w:rPr>
          <w:rFonts w:hint="eastAsia" w:ascii="宋体" w:hAnsi="宋体" w:eastAsia="宋体" w:cs="宋体"/>
          <w:color w:val="0000FF"/>
          <w:highlight w:val="none"/>
        </w:rPr>
        <w:sectPr>
          <w:pgSz w:w="11906" w:h="16838"/>
          <w:pgMar w:top="1440" w:right="1588" w:bottom="1440" w:left="1588" w:header="851" w:footer="992" w:gutter="0"/>
          <w:pgBorders>
            <w:top w:val="none" w:sz="0" w:space="0"/>
            <w:left w:val="none" w:sz="0" w:space="0"/>
            <w:bottom w:val="none" w:sz="0" w:space="0"/>
            <w:right w:val="none" w:sz="0" w:space="0"/>
          </w:pgBorders>
          <w:cols w:space="425" w:num="1"/>
          <w:docGrid w:type="lines" w:linePitch="312" w:charSpace="0"/>
        </w:sectPr>
      </w:pPr>
    </w:p>
    <w:p>
      <w:pPr>
        <w:spacing w:line="360" w:lineRule="auto"/>
        <w:outlineLvl w:val="0"/>
        <w:rPr>
          <w:rFonts w:hint="eastAsia" w:ascii="宋体" w:hAnsi="宋体" w:eastAsia="宋体" w:cs="宋体"/>
          <w:b/>
          <w:color w:val="auto"/>
          <w:sz w:val="28"/>
          <w:szCs w:val="28"/>
          <w:highlight w:val="none"/>
        </w:rPr>
      </w:pPr>
      <w:bookmarkStart w:id="13" w:name="_Toc14016"/>
      <w:r>
        <w:rPr>
          <w:rFonts w:hint="eastAsia" w:ascii="宋体" w:hAnsi="宋体" w:eastAsia="宋体" w:cs="宋体"/>
          <w:b/>
          <w:color w:val="auto"/>
          <w:sz w:val="28"/>
          <w:szCs w:val="28"/>
          <w:highlight w:val="none"/>
        </w:rPr>
        <w:t>表12 辐射安全管理</w:t>
      </w:r>
      <w:bookmarkEnd w:id="13"/>
    </w:p>
    <w:tbl>
      <w:tblPr>
        <w:tblStyle w:val="18"/>
        <w:tblW w:w="8522" w:type="dxa"/>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835" w:hRule="atLeast"/>
        </w:trPr>
        <w:tc>
          <w:tcPr>
            <w:tcW w:w="8522" w:type="dxa"/>
          </w:tcPr>
          <w:p>
            <w:pPr>
              <w:spacing w:line="360" w:lineRule="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12.1辐射安全与环境保护管理机构的设置</w:t>
            </w:r>
          </w:p>
          <w:p>
            <w:pPr>
              <w:autoSpaceDE w:val="0"/>
              <w:autoSpaceDN w:val="0"/>
              <w:adjustRightInd w:val="0"/>
              <w:spacing w:line="360" w:lineRule="auto"/>
              <w:jc w:val="left"/>
              <w:rPr>
                <w:rFonts w:hint="eastAsia" w:ascii="宋体" w:hAnsi="宋体" w:eastAsia="宋体" w:cs="宋体"/>
                <w:b/>
                <w:color w:val="auto"/>
                <w:kern w:val="0"/>
                <w:sz w:val="24"/>
                <w:highlight w:val="none"/>
              </w:rPr>
            </w:pPr>
            <w:r>
              <w:rPr>
                <w:rFonts w:hint="eastAsia" w:ascii="宋体" w:hAnsi="宋体" w:eastAsia="宋体" w:cs="宋体"/>
                <w:b/>
                <w:color w:val="auto"/>
                <w:kern w:val="0"/>
                <w:sz w:val="24"/>
                <w:highlight w:val="none"/>
              </w:rPr>
              <w:t>12.1.1 管理机构</w:t>
            </w:r>
          </w:p>
          <w:p>
            <w:pPr>
              <w:autoSpaceDE w:val="0"/>
              <w:autoSpaceDN w:val="0"/>
              <w:adjustRightInd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按照《放射性同位素与射线装置安全和防护条例》、《放射性同位素与射线装置安全许可管理办法》及</w:t>
            </w:r>
            <w:r>
              <w:rPr>
                <w:rFonts w:hint="eastAsia" w:ascii="宋体" w:hAnsi="宋体" w:eastAsia="宋体" w:cs="宋体"/>
                <w:color w:val="auto"/>
                <w:kern w:val="0"/>
                <w:sz w:val="24"/>
                <w:highlight w:val="none"/>
                <w:lang w:val="en-US" w:eastAsia="zh-CN"/>
              </w:rPr>
              <w:t>生态环境</w:t>
            </w:r>
            <w:r>
              <w:rPr>
                <w:rFonts w:hint="eastAsia" w:ascii="宋体" w:hAnsi="宋体" w:eastAsia="宋体" w:cs="宋体"/>
                <w:color w:val="auto"/>
                <w:kern w:val="0"/>
                <w:sz w:val="24"/>
                <w:highlight w:val="none"/>
              </w:rPr>
              <w:t>部门的要求，该医院已成立了辐射安全管理机构，该机构主要负责医院辐射安全防护的日常管理工作，以确保医院的安全运行。</w:t>
            </w:r>
          </w:p>
          <w:p>
            <w:pPr>
              <w:autoSpaceDE w:val="0"/>
              <w:autoSpaceDN w:val="0"/>
              <w:adjustRightInd w:val="0"/>
              <w:spacing w:line="360" w:lineRule="auto"/>
              <w:jc w:val="left"/>
              <w:rPr>
                <w:rFonts w:hint="eastAsia" w:ascii="宋体" w:hAnsi="宋体" w:eastAsia="宋体" w:cs="宋体"/>
                <w:b/>
                <w:color w:val="auto"/>
                <w:kern w:val="0"/>
                <w:sz w:val="24"/>
                <w:highlight w:val="none"/>
              </w:rPr>
            </w:pPr>
            <w:r>
              <w:rPr>
                <w:rFonts w:hint="eastAsia" w:ascii="宋体" w:hAnsi="宋体" w:eastAsia="宋体" w:cs="宋体"/>
                <w:b/>
                <w:color w:val="auto"/>
                <w:kern w:val="0"/>
                <w:sz w:val="24"/>
                <w:highlight w:val="none"/>
              </w:rPr>
              <w:t>12.1.2辐射技术能力</w:t>
            </w:r>
          </w:p>
          <w:p>
            <w:pPr>
              <w:spacing w:line="360" w:lineRule="auto"/>
              <w:ind w:firstLine="480" w:firstLineChars="200"/>
              <w:rPr>
                <w:rFonts w:hint="eastAsia" w:ascii="宋体" w:hAnsi="宋体" w:eastAsia="宋体" w:cs="宋体"/>
                <w:b/>
                <w:color w:val="0000FF"/>
                <w:sz w:val="24"/>
                <w:highlight w:val="none"/>
              </w:rPr>
            </w:pPr>
            <w:r>
              <w:rPr>
                <w:rFonts w:hint="eastAsia" w:ascii="宋体" w:hAnsi="宋体" w:eastAsia="宋体" w:cs="宋体"/>
                <w:color w:val="auto"/>
                <w:sz w:val="24"/>
                <w:highlight w:val="none"/>
              </w:rPr>
              <w:t>本项目加速器拟配备</w:t>
            </w:r>
            <w:r>
              <w:rPr>
                <w:rFonts w:hint="eastAsia" w:ascii="宋体" w:hAnsi="宋体" w:eastAsia="宋体" w:cs="宋体"/>
                <w:color w:val="auto"/>
                <w:sz w:val="24"/>
                <w:highlight w:val="none"/>
                <w:lang w:val="en-US" w:eastAsia="zh-CN"/>
              </w:rPr>
              <w:t>5</w:t>
            </w:r>
            <w:r>
              <w:rPr>
                <w:rFonts w:hint="eastAsia" w:ascii="宋体" w:hAnsi="宋体" w:eastAsia="宋体" w:cs="宋体"/>
                <w:color w:val="auto"/>
                <w:sz w:val="24"/>
                <w:highlight w:val="none"/>
              </w:rPr>
              <w:t>名工作人员（在</w:t>
            </w:r>
            <w:r>
              <w:rPr>
                <w:rFonts w:hint="eastAsia" w:ascii="宋体" w:hAnsi="宋体" w:eastAsia="宋体" w:cs="宋体"/>
                <w:color w:val="auto"/>
                <w:sz w:val="24"/>
                <w:highlight w:val="none"/>
                <w:lang w:val="en-US" w:eastAsia="zh-CN"/>
              </w:rPr>
              <w:t>双鸭山双矿医院有限公司</w:t>
            </w:r>
            <w:r>
              <w:rPr>
                <w:rFonts w:hint="eastAsia" w:ascii="宋体" w:hAnsi="宋体" w:eastAsia="宋体" w:cs="宋体"/>
                <w:color w:val="auto"/>
                <w:sz w:val="24"/>
                <w:highlight w:val="none"/>
              </w:rPr>
              <w:t>内部调剂），均</w:t>
            </w:r>
            <w:r>
              <w:rPr>
                <w:rFonts w:hint="eastAsia" w:ascii="宋体" w:hAnsi="宋体" w:eastAsia="宋体" w:cs="宋体"/>
                <w:color w:val="auto"/>
                <w:sz w:val="24"/>
                <w:highlight w:val="none"/>
                <w:lang w:val="en-US" w:eastAsia="zh-CN"/>
              </w:rPr>
              <w:t>通过</w:t>
            </w:r>
            <w:r>
              <w:rPr>
                <w:rFonts w:hint="eastAsia" w:ascii="宋体" w:hAnsi="宋体" w:eastAsia="宋体" w:cs="宋体"/>
                <w:color w:val="auto"/>
                <w:sz w:val="24"/>
                <w:highlight w:val="none"/>
              </w:rPr>
              <w:t>了辐射安全和防护专业知识及相关法律法规的培训和考核</w:t>
            </w:r>
            <w:r>
              <w:rPr>
                <w:rFonts w:hint="eastAsia" w:ascii="宋体" w:hAnsi="宋体" w:eastAsia="宋体" w:cs="宋体"/>
                <w:color w:val="auto"/>
                <w:kern w:val="0"/>
                <w:sz w:val="24"/>
                <w:highlight w:val="none"/>
              </w:rPr>
              <w:t>。</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587" w:hRule="atLeast"/>
        </w:trPr>
        <w:tc>
          <w:tcPr>
            <w:tcW w:w="8522" w:type="dxa"/>
          </w:tcPr>
          <w:p>
            <w:pPr>
              <w:spacing w:line="360" w:lineRule="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12.2辐射安全管理规章制度</w:t>
            </w:r>
          </w:p>
          <w:p>
            <w:pPr>
              <w:spacing w:line="360" w:lineRule="auto"/>
              <w:ind w:firstLine="480" w:firstLineChars="200"/>
              <w:jc w:val="left"/>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双鸭山双矿医院有限公司</w:t>
            </w:r>
            <w:r>
              <w:rPr>
                <w:rFonts w:hint="eastAsia" w:ascii="宋体" w:hAnsi="宋体" w:eastAsia="宋体" w:cs="宋体"/>
                <w:color w:val="auto"/>
                <w:sz w:val="24"/>
                <w:highlight w:val="none"/>
              </w:rPr>
              <w:t>为了保证辐射安全，保障工作人员和公众的身体健康，已制定了以下规章制度</w:t>
            </w:r>
            <w:r>
              <w:rPr>
                <w:rFonts w:hint="eastAsia" w:ascii="宋体" w:hAnsi="宋体" w:eastAsia="宋体" w:cs="宋体"/>
                <w:color w:val="auto"/>
                <w:sz w:val="24"/>
                <w:highlight w:val="none"/>
                <w:lang w:eastAsia="zh-CN"/>
              </w:rPr>
              <w:t>：</w:t>
            </w:r>
          </w:p>
          <w:p>
            <w:pPr>
              <w:spacing w:line="360" w:lineRule="auto"/>
              <w:ind w:firstLine="480" w:firstLineChars="200"/>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放疗质控制度</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放疗科安全防护管理制度</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放疗科操作规程</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放疗工作人员健康管理</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放疗患者告知</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放射治疗技术操作规范及流程</w:t>
            </w:r>
            <w:r>
              <w:rPr>
                <w:rFonts w:hint="eastAsia" w:ascii="宋体" w:hAnsi="宋体" w:eastAsia="宋体" w:cs="宋体"/>
                <w:color w:val="auto"/>
                <w:sz w:val="24"/>
                <w:highlight w:val="none"/>
                <w:lang w:eastAsia="zh-CN"/>
              </w:rPr>
              <w:t>》</w:t>
            </w:r>
            <w:r>
              <w:rPr>
                <w:rFonts w:hint="eastAsia" w:ascii="宋体" w:hAnsi="宋体" w:eastAsia="宋体" w:cs="宋体"/>
                <w:color w:val="auto"/>
                <w:sz w:val="24"/>
                <w:szCs w:val="24"/>
                <w:lang w:val="en-US" w:eastAsia="zh-CN"/>
              </w:rPr>
              <w:t>《辐射防护管理人员岗位责任制》《辐射事故应急预案》《使用登记制度》《放射工作人员岗位职责及操作规程》《辐射防护和安全保卫制度》《设备检修维护制度》《人员培训计划》《监测制度》《加速器操作规范》《DSA操作规程》等。</w:t>
            </w:r>
          </w:p>
          <w:p>
            <w:pPr>
              <w:spacing w:line="360" w:lineRule="auto"/>
              <w:ind w:firstLine="480" w:firstLineChars="200"/>
              <w:rPr>
                <w:rFonts w:hint="eastAsia" w:ascii="宋体" w:hAnsi="宋体" w:eastAsia="宋体" w:cs="宋体"/>
                <w:b/>
                <w:color w:val="0000FF"/>
                <w:sz w:val="24"/>
                <w:highlight w:val="none"/>
              </w:rPr>
            </w:pPr>
            <w:r>
              <w:rPr>
                <w:rFonts w:hint="eastAsia" w:ascii="宋体" w:hAnsi="宋体" w:eastAsia="宋体" w:cs="宋体"/>
                <w:color w:val="auto"/>
                <w:sz w:val="24"/>
                <w:highlight w:val="none"/>
                <w:lang w:val="en-US" w:eastAsia="zh-CN"/>
              </w:rPr>
              <w:t>当前辐射相关规章制度</w:t>
            </w:r>
            <w:r>
              <w:rPr>
                <w:rFonts w:hint="eastAsia" w:ascii="宋体" w:hAnsi="宋体" w:eastAsia="宋体" w:cs="宋体"/>
                <w:color w:val="auto"/>
                <w:kern w:val="0"/>
                <w:sz w:val="24"/>
                <w:highlight w:val="none"/>
              </w:rPr>
              <w:t>符合《放射性同位素与射线装置安全许可管理办法》的相关规定</w:t>
            </w:r>
            <w:r>
              <w:rPr>
                <w:rFonts w:hint="eastAsia" w:ascii="宋体" w:hAnsi="宋体" w:eastAsia="宋体" w:cs="宋体"/>
                <w:color w:val="auto"/>
                <w:sz w:val="24"/>
                <w:highlight w:val="none"/>
                <w:lang w:val="en-US" w:eastAsia="zh-CN"/>
              </w:rPr>
              <w:t>，能满足现有工作的要求</w:t>
            </w:r>
            <w:r>
              <w:rPr>
                <w:rFonts w:hint="eastAsia" w:ascii="宋体" w:hAnsi="宋体" w:eastAsia="宋体" w:cs="宋体"/>
                <w:color w:val="auto"/>
                <w:sz w:val="24"/>
                <w:highlight w:val="none"/>
              </w:rPr>
              <w:t>。</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835" w:hRule="atLeast"/>
        </w:trPr>
        <w:tc>
          <w:tcPr>
            <w:tcW w:w="8522" w:type="dxa"/>
          </w:tcPr>
          <w:p>
            <w:pPr>
              <w:spacing w:line="360" w:lineRule="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12.3辐射监测</w:t>
            </w:r>
          </w:p>
          <w:p>
            <w:pPr>
              <w:autoSpaceDE w:val="0"/>
              <w:autoSpaceDN w:val="0"/>
              <w:adjustRightInd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按照《黑龙江省辐射污染防治条例》中第十六条和第十八条的要求制定监测计划，包括辐射工作场所监测计划与放射工作人员个人剂量监测计划。定期对本单位放射线工作场所周围环境进行辐射监测，对发现的隐患，应及时整改，监测数据每年年底向省生态环境厅和当地生态环境局上报备案。</w:t>
            </w:r>
          </w:p>
          <w:p>
            <w:pPr>
              <w:autoSpaceDE w:val="0"/>
              <w:autoSpaceDN w:val="0"/>
              <w:adjustRightInd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本项目在运行期的辐射监测项目分为个人剂量监测和工作场所及周围环境监测。</w:t>
            </w:r>
          </w:p>
          <w:p>
            <w:pPr>
              <w:autoSpaceDE w:val="0"/>
              <w:autoSpaceDN w:val="0"/>
              <w:adjustRightInd w:val="0"/>
              <w:spacing w:line="360" w:lineRule="auto"/>
              <w:jc w:val="left"/>
              <w:rPr>
                <w:rFonts w:hint="eastAsia" w:ascii="宋体" w:hAnsi="宋体" w:eastAsia="宋体" w:cs="宋体"/>
                <w:b/>
                <w:color w:val="auto"/>
                <w:kern w:val="0"/>
                <w:sz w:val="24"/>
                <w:highlight w:val="none"/>
              </w:rPr>
            </w:pPr>
            <w:r>
              <w:rPr>
                <w:rFonts w:hint="eastAsia" w:ascii="宋体" w:hAnsi="宋体" w:eastAsia="宋体" w:cs="宋体"/>
                <w:b/>
                <w:color w:val="auto"/>
                <w:kern w:val="0"/>
                <w:sz w:val="24"/>
                <w:highlight w:val="none"/>
              </w:rPr>
              <w:t>12.3.1个人剂量监测</w:t>
            </w:r>
          </w:p>
          <w:p>
            <w:pPr>
              <w:autoSpaceDE w:val="0"/>
              <w:autoSpaceDN w:val="0"/>
              <w:adjustRightInd w:val="0"/>
              <w:spacing w:line="360" w:lineRule="auto"/>
              <w:ind w:firstLine="480"/>
              <w:jc w:val="left"/>
              <w:rPr>
                <w:rFonts w:hint="eastAsia" w:ascii="宋体" w:hAnsi="宋体" w:eastAsia="宋体" w:cs="宋体"/>
                <w:color w:val="auto"/>
                <w:kern w:val="0"/>
                <w:sz w:val="24"/>
                <w:highlight w:val="none"/>
              </w:rPr>
            </w:pPr>
            <w:r>
              <w:rPr>
                <w:rFonts w:hint="eastAsia" w:ascii="宋体" w:hAnsi="宋体" w:eastAsia="宋体" w:cs="宋体"/>
                <w:color w:val="auto"/>
                <w:sz w:val="24"/>
                <w:highlight w:val="none"/>
                <w:lang w:val="en-US" w:eastAsia="zh-CN"/>
              </w:rPr>
              <w:t>双鸭山双矿医院有限公司</w:t>
            </w:r>
            <w:r>
              <w:rPr>
                <w:rFonts w:hint="eastAsia" w:ascii="宋体" w:hAnsi="宋体" w:eastAsia="宋体" w:cs="宋体"/>
                <w:color w:val="auto"/>
                <w:sz w:val="24"/>
                <w:highlight w:val="none"/>
              </w:rPr>
              <w:t>应对</w:t>
            </w:r>
            <w:r>
              <w:rPr>
                <w:rFonts w:hint="eastAsia" w:ascii="宋体" w:hAnsi="宋体" w:eastAsia="宋体" w:cs="宋体"/>
                <w:color w:val="auto"/>
                <w:kern w:val="0"/>
                <w:sz w:val="24"/>
                <w:highlight w:val="none"/>
              </w:rPr>
              <w:t>放射工作人员开展个人剂量监测，严格按照建立个人剂量监测档案，由专人管理。按每年四次的频度（每季度一次）委托有资质的放射防护技术服务机构承担个人剂量常规监测，医院有专职人员配合委托单位及时发放个人剂量计。</w:t>
            </w:r>
          </w:p>
          <w:p>
            <w:pPr>
              <w:autoSpaceDE w:val="0"/>
              <w:autoSpaceDN w:val="0"/>
              <w:adjustRightInd w:val="0"/>
              <w:spacing w:line="360" w:lineRule="auto"/>
              <w:jc w:val="left"/>
              <w:rPr>
                <w:rFonts w:hint="eastAsia" w:ascii="宋体" w:hAnsi="宋体" w:eastAsia="宋体" w:cs="宋体"/>
                <w:b/>
                <w:color w:val="auto"/>
                <w:kern w:val="0"/>
                <w:sz w:val="24"/>
                <w:highlight w:val="none"/>
              </w:rPr>
            </w:pPr>
            <w:r>
              <w:rPr>
                <w:rFonts w:hint="eastAsia" w:ascii="宋体" w:hAnsi="宋体" w:eastAsia="宋体" w:cs="宋体"/>
                <w:b/>
                <w:color w:val="auto"/>
                <w:sz w:val="24"/>
                <w:highlight w:val="none"/>
              </w:rPr>
              <w:t>12.3.2</w:t>
            </w:r>
            <w:r>
              <w:rPr>
                <w:rFonts w:hint="eastAsia" w:ascii="宋体" w:hAnsi="宋体" w:eastAsia="宋体" w:cs="宋体"/>
                <w:b/>
                <w:color w:val="auto"/>
                <w:kern w:val="0"/>
                <w:sz w:val="24"/>
                <w:highlight w:val="none"/>
              </w:rPr>
              <w:t>工作场所及周围环境监测</w:t>
            </w:r>
          </w:p>
          <w:p>
            <w:pPr>
              <w:autoSpaceDE w:val="0"/>
              <w:autoSpaceDN w:val="0"/>
              <w:adjustRightInd w:val="0"/>
              <w:spacing w:line="360" w:lineRule="auto"/>
              <w:jc w:val="left"/>
              <w:rPr>
                <w:rFonts w:hint="eastAsia" w:ascii="宋体" w:hAnsi="宋体" w:eastAsia="宋体" w:cs="宋体"/>
                <w:color w:val="auto"/>
                <w:kern w:val="0"/>
                <w:sz w:val="24"/>
                <w:highlight w:val="none"/>
              </w:rPr>
            </w:pPr>
            <w:r>
              <w:rPr>
                <w:rFonts w:hint="eastAsia" w:ascii="宋体" w:hAnsi="宋体" w:eastAsia="宋体" w:cs="宋体"/>
                <w:color w:val="auto"/>
                <w:sz w:val="24"/>
                <w:highlight w:val="none"/>
              </w:rPr>
              <w:t xml:space="preserve">    </w:t>
            </w:r>
            <w:r>
              <w:rPr>
                <w:rFonts w:hint="eastAsia" w:ascii="宋体" w:hAnsi="宋体" w:eastAsia="宋体" w:cs="宋体"/>
                <w:color w:val="auto"/>
                <w:sz w:val="24"/>
                <w:highlight w:val="none"/>
                <w:lang w:val="en-US" w:eastAsia="zh-CN"/>
              </w:rPr>
              <w:t>双鸭山双矿医院有限公司应</w:t>
            </w:r>
            <w:r>
              <w:rPr>
                <w:rFonts w:hint="eastAsia" w:ascii="宋体" w:hAnsi="宋体" w:eastAsia="宋体" w:cs="宋体"/>
                <w:color w:val="auto"/>
                <w:sz w:val="24"/>
                <w:highlight w:val="none"/>
              </w:rPr>
              <w:t>定期委托有资质的单位定期对工作场所进行辐射环境监测，并建立监测档案</w:t>
            </w:r>
            <w:r>
              <w:rPr>
                <w:rFonts w:hint="eastAsia" w:ascii="宋体" w:hAnsi="宋体" w:eastAsia="宋体" w:cs="宋体"/>
                <w:color w:val="auto"/>
                <w:kern w:val="0"/>
                <w:sz w:val="24"/>
                <w:highlight w:val="none"/>
              </w:rPr>
              <w:t>。</w:t>
            </w:r>
          </w:p>
          <w:p>
            <w:pPr>
              <w:autoSpaceDE w:val="0"/>
              <w:autoSpaceDN w:val="0"/>
              <w:adjustRightInd w:val="0"/>
              <w:spacing w:line="360" w:lineRule="auto"/>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（1）监测频度：每年常规监测一次。</w:t>
            </w:r>
          </w:p>
          <w:p>
            <w:pPr>
              <w:autoSpaceDE w:val="0"/>
              <w:autoSpaceDN w:val="0"/>
              <w:adjustRightInd w:val="0"/>
              <w:spacing w:line="360" w:lineRule="auto"/>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（2）监测范围：机房防护门、屏蔽墙、人员活动场所及周围环境。</w:t>
            </w:r>
          </w:p>
          <w:p>
            <w:pPr>
              <w:autoSpaceDE w:val="0"/>
              <w:autoSpaceDN w:val="0"/>
              <w:adjustRightInd w:val="0"/>
              <w:spacing w:line="360" w:lineRule="auto"/>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（3）监测项目：γ辐射</w:t>
            </w:r>
            <w:r>
              <w:rPr>
                <w:rFonts w:hint="eastAsia" w:ascii="宋体" w:hAnsi="宋体" w:eastAsia="宋体" w:cs="宋体"/>
                <w:color w:val="auto"/>
                <w:kern w:val="0"/>
                <w:sz w:val="24"/>
                <w:highlight w:val="none"/>
                <w:lang w:val="en-US" w:eastAsia="zh-CN"/>
              </w:rPr>
              <w:t>空气吸收剂量</w:t>
            </w:r>
            <w:r>
              <w:rPr>
                <w:rFonts w:hint="eastAsia" w:ascii="宋体" w:hAnsi="宋体" w:eastAsia="宋体" w:cs="宋体"/>
                <w:color w:val="auto"/>
                <w:kern w:val="0"/>
                <w:sz w:val="24"/>
                <w:highlight w:val="none"/>
              </w:rPr>
              <w:t>率。</w:t>
            </w:r>
          </w:p>
          <w:p>
            <w:pPr>
              <w:spacing w:line="360" w:lineRule="auto"/>
              <w:rPr>
                <w:rFonts w:hint="eastAsia" w:ascii="宋体" w:hAnsi="宋体" w:eastAsia="宋体" w:cs="宋体"/>
                <w:color w:val="0000FF"/>
                <w:kern w:val="0"/>
                <w:sz w:val="24"/>
                <w:highlight w:val="none"/>
              </w:rPr>
            </w:pPr>
            <w:r>
              <w:rPr>
                <w:rFonts w:hint="eastAsia" w:ascii="宋体" w:hAnsi="宋体" w:eastAsia="宋体" w:cs="宋体"/>
                <w:color w:val="auto"/>
                <w:kern w:val="0"/>
                <w:sz w:val="24"/>
                <w:highlight w:val="none"/>
              </w:rPr>
              <w:t>（4）监测记录：应清晰、准确、完整并纳入档案进行保存。</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841" w:hRule="atLeast"/>
        </w:trPr>
        <w:tc>
          <w:tcPr>
            <w:tcW w:w="8522" w:type="dxa"/>
          </w:tcPr>
          <w:p>
            <w:pPr>
              <w:spacing w:line="360" w:lineRule="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12.4辐射事故应急</w:t>
            </w:r>
          </w:p>
          <w:p>
            <w:pPr>
              <w:spacing w:line="360" w:lineRule="auto"/>
              <w:ind w:firstLine="460" w:firstLineChars="192"/>
              <w:rPr>
                <w:rFonts w:hint="eastAsia" w:ascii="宋体" w:hAnsi="宋体" w:eastAsia="宋体" w:cs="宋体"/>
                <w:color w:val="auto"/>
                <w:sz w:val="24"/>
                <w:highlight w:val="none"/>
              </w:rPr>
            </w:pPr>
            <w:r>
              <w:rPr>
                <w:rFonts w:hint="eastAsia" w:ascii="宋体" w:hAnsi="宋体" w:eastAsia="宋体" w:cs="宋体"/>
                <w:color w:val="auto"/>
                <w:sz w:val="24"/>
                <w:highlight w:val="none"/>
                <w:lang w:val="en-US" w:eastAsia="zh-CN"/>
              </w:rPr>
              <w:t>双鸭山双矿医院有限公司</w:t>
            </w:r>
            <w:r>
              <w:rPr>
                <w:rFonts w:hint="eastAsia" w:ascii="宋体" w:hAnsi="宋体" w:eastAsia="宋体" w:cs="宋体"/>
                <w:color w:val="auto"/>
                <w:sz w:val="24"/>
                <w:highlight w:val="none"/>
              </w:rPr>
              <w:t>制定了放射事件应急处理预案，成立了辐射安全应急领导小组。</w:t>
            </w:r>
          </w:p>
          <w:p>
            <w:pPr>
              <w:spacing w:line="360" w:lineRule="auto"/>
              <w:ind w:firstLine="465"/>
              <w:rPr>
                <w:rFonts w:hint="eastAsia" w:ascii="宋体" w:hAnsi="宋体" w:eastAsia="宋体" w:cs="宋体"/>
                <w:color w:val="auto"/>
                <w:sz w:val="24"/>
                <w:highlight w:val="none"/>
              </w:rPr>
            </w:pPr>
            <w:r>
              <w:rPr>
                <w:rFonts w:hint="eastAsia" w:ascii="宋体" w:hAnsi="宋体" w:eastAsia="宋体" w:cs="宋体"/>
                <w:color w:val="auto"/>
                <w:sz w:val="24"/>
                <w:highlight w:val="none"/>
              </w:rPr>
              <w:t>内容包括：</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   （1）应急救援小组的职责；</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   （2）放射性事故应急救援应遵循的原则；</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   （3）放射性事故应急处理程序；</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   （4）放射性事故的调查。</w:t>
            </w:r>
          </w:p>
          <w:p>
            <w:pPr>
              <w:spacing w:line="360" w:lineRule="auto"/>
              <w:ind w:firstLine="465"/>
              <w:rPr>
                <w:rFonts w:hint="eastAsia" w:ascii="宋体" w:hAnsi="宋体" w:eastAsia="宋体" w:cs="宋体"/>
                <w:color w:val="auto"/>
                <w:sz w:val="24"/>
                <w:highlight w:val="none"/>
              </w:rPr>
            </w:pPr>
            <w:r>
              <w:rPr>
                <w:rFonts w:hint="eastAsia" w:ascii="宋体" w:hAnsi="宋体" w:eastAsia="宋体" w:cs="宋体"/>
                <w:color w:val="auto"/>
                <w:sz w:val="24"/>
                <w:highlight w:val="none"/>
              </w:rPr>
              <w:t>医院应</w:t>
            </w:r>
            <w:r>
              <w:rPr>
                <w:rFonts w:hint="eastAsia" w:ascii="宋体" w:hAnsi="宋体" w:eastAsia="宋体" w:cs="宋体"/>
                <w:color w:val="auto"/>
                <w:sz w:val="24"/>
                <w:highlight w:val="none"/>
                <w:lang w:val="en-US" w:eastAsia="zh-CN"/>
              </w:rPr>
              <w:t>在放射时间应急处理预案中</w:t>
            </w:r>
            <w:r>
              <w:rPr>
                <w:rFonts w:hint="eastAsia" w:ascii="宋体" w:hAnsi="宋体" w:eastAsia="宋体" w:cs="宋体"/>
                <w:color w:val="auto"/>
                <w:sz w:val="24"/>
                <w:highlight w:val="none"/>
              </w:rPr>
              <w:t>补充</w:t>
            </w:r>
            <w:r>
              <w:rPr>
                <w:rFonts w:hint="eastAsia" w:ascii="宋体" w:hAnsi="宋体" w:eastAsia="宋体" w:cs="宋体"/>
                <w:color w:val="auto"/>
                <w:sz w:val="24"/>
                <w:highlight w:val="none"/>
                <w:lang w:val="en-US" w:eastAsia="zh-CN"/>
              </w:rPr>
              <w:t>加速器相关内容，同时应补充</w:t>
            </w:r>
            <w:r>
              <w:rPr>
                <w:rFonts w:hint="eastAsia" w:ascii="宋体" w:hAnsi="宋体" w:eastAsia="宋体" w:cs="宋体"/>
                <w:color w:val="auto"/>
                <w:sz w:val="24"/>
                <w:highlight w:val="none"/>
              </w:rPr>
              <w:t>应急演习方案，科室每季度组织一次演习，每年至少组织一次全院演习。</w:t>
            </w:r>
          </w:p>
          <w:p>
            <w:pPr>
              <w:spacing w:line="360" w:lineRule="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12.5竣工环境保护验收内容</w:t>
            </w:r>
          </w:p>
          <w:p>
            <w:pPr>
              <w:adjustRightInd w:val="0"/>
              <w:snapToGrid w:val="0"/>
              <w:spacing w:line="360" w:lineRule="auto"/>
              <w:ind w:firstLine="480" w:firstLineChars="200"/>
              <w:rPr>
                <w:rFonts w:hint="eastAsia" w:ascii="宋体" w:hAnsi="宋体" w:eastAsia="宋体" w:cs="宋体"/>
                <w:b/>
                <w:color w:val="auto"/>
                <w:sz w:val="24"/>
                <w:highlight w:val="none"/>
              </w:rPr>
            </w:pPr>
            <w:r>
              <w:rPr>
                <w:rFonts w:hint="eastAsia" w:ascii="宋体" w:hAnsi="宋体" w:eastAsia="宋体" w:cs="宋体"/>
                <w:color w:val="auto"/>
                <w:sz w:val="24"/>
                <w:highlight w:val="none"/>
              </w:rPr>
              <w:t>本项目建议竣工环境保护验收内容见表12-1。</w:t>
            </w:r>
          </w:p>
          <w:p>
            <w:pPr>
              <w:adjustRightInd w:val="0"/>
              <w:snapToGrid w:val="0"/>
              <w:spacing w:line="240" w:lineRule="auto"/>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表12-1 竣工环境保护验收内容一览表</w:t>
            </w:r>
          </w:p>
          <w:tbl>
            <w:tblPr>
              <w:tblStyle w:val="19"/>
              <w:tblW w:w="4998" w:type="pct"/>
              <w:jc w:val="center"/>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
            <w:tblGrid>
              <w:gridCol w:w="2604"/>
              <w:gridCol w:w="5699"/>
            </w:tblGrid>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454" w:hRule="exact"/>
                <w:jc w:val="center"/>
              </w:trPr>
              <w:tc>
                <w:tcPr>
                  <w:tcW w:w="1568" w:type="pct"/>
                  <w:tcBorders>
                    <w:tl2br w:val="nil"/>
                    <w:tr2bl w:val="nil"/>
                  </w:tcBorders>
                  <w:vAlign w:val="center"/>
                </w:tcPr>
                <w:p>
                  <w:pPr>
                    <w:adjustRightInd w:val="0"/>
                    <w:snapToGrid w:val="0"/>
                    <w:spacing w:line="240" w:lineRule="auto"/>
                    <w:jc w:val="center"/>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验收内容</w:t>
                  </w:r>
                </w:p>
              </w:tc>
              <w:tc>
                <w:tcPr>
                  <w:tcW w:w="3431" w:type="pct"/>
                  <w:tcBorders>
                    <w:tl2br w:val="nil"/>
                    <w:tr2bl w:val="nil"/>
                  </w:tcBorders>
                  <w:vAlign w:val="center"/>
                </w:tcPr>
                <w:p>
                  <w:pPr>
                    <w:adjustRightInd w:val="0"/>
                    <w:snapToGrid w:val="0"/>
                    <w:spacing w:line="240" w:lineRule="auto"/>
                    <w:jc w:val="center"/>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验收要求</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935" w:hRule="exact"/>
                <w:jc w:val="center"/>
              </w:trPr>
              <w:tc>
                <w:tcPr>
                  <w:tcW w:w="1568" w:type="pct"/>
                  <w:tcBorders>
                    <w:tl2br w:val="nil"/>
                    <w:tr2bl w:val="nil"/>
                  </w:tcBorders>
                  <w:vAlign w:val="center"/>
                </w:tcPr>
                <w:p>
                  <w:pPr>
                    <w:adjustRightInd w:val="0"/>
                    <w:snapToGrid w:val="0"/>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剂量管理约束值</w:t>
                  </w:r>
                </w:p>
              </w:tc>
              <w:tc>
                <w:tcPr>
                  <w:tcW w:w="3431" w:type="pct"/>
                  <w:tcBorders>
                    <w:tl2br w:val="nil"/>
                    <w:tr2bl w:val="nil"/>
                  </w:tcBorders>
                  <w:vAlign w:val="center"/>
                </w:tcPr>
                <w:p>
                  <w:pPr>
                    <w:adjustRightInd w:val="0"/>
                    <w:snapToGrid w:val="0"/>
                    <w:spacing w:line="240" w:lineRule="auto"/>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公众，职业照射剂量约束值分别满足《电离辐射防护与辐射源安全基本标准》(GB18871-2002)不大于 0.</w:t>
                  </w:r>
                  <w:r>
                    <w:rPr>
                      <w:rFonts w:hint="eastAsia" w:ascii="宋体" w:hAnsi="宋体" w:eastAsia="宋体" w:cs="宋体"/>
                      <w:color w:val="auto"/>
                      <w:sz w:val="21"/>
                      <w:szCs w:val="21"/>
                      <w:highlight w:val="none"/>
                      <w:lang w:val="en-US" w:eastAsia="zh-CN"/>
                    </w:rPr>
                    <w:t>1</w:t>
                  </w:r>
                  <w:r>
                    <w:rPr>
                      <w:rFonts w:hint="eastAsia" w:ascii="宋体" w:hAnsi="宋体" w:eastAsia="宋体" w:cs="宋体"/>
                      <w:color w:val="auto"/>
                      <w:sz w:val="21"/>
                      <w:szCs w:val="21"/>
                      <w:highlight w:val="none"/>
                    </w:rPr>
                    <w:t>mSv/a和5mSv/a的要求；</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680" w:hRule="exact"/>
                <w:jc w:val="center"/>
              </w:trPr>
              <w:tc>
                <w:tcPr>
                  <w:tcW w:w="1568" w:type="pct"/>
                  <w:tcBorders>
                    <w:tl2br w:val="nil"/>
                    <w:tr2bl w:val="nil"/>
                  </w:tcBorders>
                  <w:vAlign w:val="center"/>
                </w:tcPr>
                <w:p>
                  <w:pPr>
                    <w:adjustRightInd w:val="0"/>
                    <w:snapToGrid w:val="0"/>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电离辐射标志和中文警示</w:t>
                  </w:r>
                </w:p>
              </w:tc>
              <w:tc>
                <w:tcPr>
                  <w:tcW w:w="3431" w:type="pct"/>
                  <w:tcBorders>
                    <w:tl2br w:val="nil"/>
                    <w:tr2bl w:val="nil"/>
                  </w:tcBorders>
                  <w:vAlign w:val="center"/>
                </w:tcPr>
                <w:p>
                  <w:pPr>
                    <w:adjustRightInd w:val="0"/>
                    <w:snapToGrid w:val="0"/>
                    <w:spacing w:line="240" w:lineRule="auto"/>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机房门设置电离辐射警告标识和中文警示说明，以及工作状态指示灯；</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680" w:hRule="exact"/>
                <w:jc w:val="center"/>
              </w:trPr>
              <w:tc>
                <w:tcPr>
                  <w:tcW w:w="1568" w:type="pct"/>
                  <w:tcBorders>
                    <w:tl2br w:val="nil"/>
                    <w:tr2bl w:val="nil"/>
                  </w:tcBorders>
                  <w:vAlign w:val="center"/>
                </w:tcPr>
                <w:p>
                  <w:pPr>
                    <w:adjustRightInd w:val="0"/>
                    <w:snapToGrid w:val="0"/>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布局和屏蔽设计</w:t>
                  </w:r>
                </w:p>
              </w:tc>
              <w:tc>
                <w:tcPr>
                  <w:tcW w:w="3431" w:type="pct"/>
                  <w:tcBorders>
                    <w:tl2br w:val="nil"/>
                    <w:tr2bl w:val="nil"/>
                  </w:tcBorders>
                  <w:vAlign w:val="center"/>
                </w:tcPr>
                <w:p>
                  <w:pPr>
                    <w:adjustRightInd w:val="0"/>
                    <w:snapToGrid w:val="0"/>
                    <w:spacing w:line="240" w:lineRule="auto"/>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辐射工作场所实行分区管理，机房外30cm周围剂量当量率</w:t>
                  </w:r>
                  <w:r>
                    <w:rPr>
                      <w:rFonts w:hint="eastAsia" w:ascii="宋体" w:hAnsi="宋体" w:eastAsia="宋体" w:cs="宋体"/>
                      <w:color w:val="auto"/>
                      <w:sz w:val="21"/>
                      <w:szCs w:val="21"/>
                      <w:highlight w:val="none"/>
                      <w:lang w:val="en-US" w:eastAsia="zh-CN"/>
                    </w:rPr>
                    <w:t>应当符合《放射治疗放射防护要求》（GBZ121-2020）的要求；</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935" w:hRule="exact"/>
                <w:jc w:val="center"/>
              </w:trPr>
              <w:tc>
                <w:tcPr>
                  <w:tcW w:w="1568" w:type="pct"/>
                  <w:tcBorders>
                    <w:tl2br w:val="nil"/>
                    <w:tr2bl w:val="nil"/>
                  </w:tcBorders>
                  <w:vAlign w:val="center"/>
                </w:tcPr>
                <w:p>
                  <w:pPr>
                    <w:adjustRightInd w:val="0"/>
                    <w:snapToGrid w:val="0"/>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辐射安全设施</w:t>
                  </w:r>
                </w:p>
              </w:tc>
              <w:tc>
                <w:tcPr>
                  <w:tcW w:w="3431" w:type="pct"/>
                  <w:tcBorders>
                    <w:tl2br w:val="nil"/>
                    <w:tr2bl w:val="nil"/>
                  </w:tcBorders>
                  <w:vAlign w:val="center"/>
                </w:tcPr>
                <w:p>
                  <w:pPr>
                    <w:adjustRightInd w:val="0"/>
                    <w:snapToGrid w:val="0"/>
                    <w:spacing w:line="240" w:lineRule="auto"/>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实体屏蔽，设置铅防护门和迷路，防护门与加速器联锁，设置工作状态指示灯和辐射警告标志、设置紧急停机开关、安装通风换气系统、监视和对讲设备；</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935" w:hRule="exact"/>
                <w:jc w:val="center"/>
              </w:trPr>
              <w:tc>
                <w:tcPr>
                  <w:tcW w:w="1568" w:type="pct"/>
                  <w:tcBorders>
                    <w:tl2br w:val="nil"/>
                    <w:tr2bl w:val="nil"/>
                  </w:tcBorders>
                  <w:vAlign w:val="center"/>
                </w:tcPr>
                <w:p>
                  <w:pPr>
                    <w:adjustRightInd w:val="0"/>
                    <w:snapToGrid w:val="0"/>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辐射监测</w:t>
                  </w:r>
                </w:p>
              </w:tc>
              <w:tc>
                <w:tcPr>
                  <w:tcW w:w="3431" w:type="pct"/>
                  <w:tcBorders>
                    <w:tl2br w:val="nil"/>
                    <w:tr2bl w:val="nil"/>
                  </w:tcBorders>
                  <w:vAlign w:val="center"/>
                </w:tcPr>
                <w:p>
                  <w:pPr>
                    <w:adjustRightInd w:val="0"/>
                    <w:snapToGrid w:val="0"/>
                    <w:spacing w:line="240" w:lineRule="auto"/>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有满足管理要求的辐射监测制度，配置固定式剂量率仪和便携式辐射监测仪，为辐射工作人员配置个人剂量计和个人剂量报警仪，建立健康档案；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454" w:hRule="exact"/>
                <w:jc w:val="center"/>
              </w:trPr>
              <w:tc>
                <w:tcPr>
                  <w:tcW w:w="1568" w:type="pct"/>
                  <w:tcBorders>
                    <w:tl2br w:val="nil"/>
                    <w:tr2bl w:val="nil"/>
                  </w:tcBorders>
                  <w:vAlign w:val="center"/>
                </w:tcPr>
                <w:p>
                  <w:pPr>
                    <w:adjustRightInd w:val="0"/>
                    <w:snapToGrid w:val="0"/>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规章制度</w:t>
                  </w:r>
                </w:p>
              </w:tc>
              <w:tc>
                <w:tcPr>
                  <w:tcW w:w="3431" w:type="pct"/>
                  <w:tcBorders>
                    <w:tl2br w:val="nil"/>
                    <w:tr2bl w:val="nil"/>
                  </w:tcBorders>
                  <w:vAlign w:val="center"/>
                </w:tcPr>
                <w:p>
                  <w:pPr>
                    <w:adjustRightInd w:val="0"/>
                    <w:snapToGrid w:val="0"/>
                    <w:spacing w:line="240" w:lineRule="auto"/>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按照本环评报告要求完善辐射相关规章制度；</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935" w:hRule="exact"/>
                <w:jc w:val="center"/>
              </w:trPr>
              <w:tc>
                <w:tcPr>
                  <w:tcW w:w="1568" w:type="pct"/>
                  <w:tcBorders>
                    <w:tl2br w:val="nil"/>
                    <w:tr2bl w:val="nil"/>
                  </w:tcBorders>
                  <w:vAlign w:val="center"/>
                </w:tcPr>
                <w:p>
                  <w:pPr>
                    <w:adjustRightInd w:val="0"/>
                    <w:snapToGrid w:val="0"/>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人员培训</w:t>
                  </w:r>
                </w:p>
              </w:tc>
              <w:tc>
                <w:tcPr>
                  <w:tcW w:w="3431" w:type="pct"/>
                  <w:tcBorders>
                    <w:tl2br w:val="nil"/>
                    <w:tr2bl w:val="nil"/>
                  </w:tcBorders>
                  <w:vAlign w:val="center"/>
                </w:tcPr>
                <w:p>
                  <w:pPr>
                    <w:adjustRightInd w:val="0"/>
                    <w:snapToGrid w:val="0"/>
                    <w:spacing w:line="240" w:lineRule="auto"/>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辐射工作人员参加“国家核技术利用辐射安全与防护培训平台”学习，经考核合格后上岗，或持有的经生态环境部门认可的原培训证书在有效期内；</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1406" w:hRule="atLeast"/>
                <w:jc w:val="center"/>
              </w:trPr>
              <w:tc>
                <w:tcPr>
                  <w:tcW w:w="1568" w:type="pct"/>
                  <w:tcBorders>
                    <w:tl2br w:val="nil"/>
                    <w:tr2bl w:val="nil"/>
                  </w:tcBorders>
                  <w:vAlign w:val="center"/>
                </w:tcPr>
                <w:p>
                  <w:pPr>
                    <w:adjustRightInd w:val="0"/>
                    <w:snapToGrid w:val="0"/>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应急预案</w:t>
                  </w:r>
                </w:p>
              </w:tc>
              <w:tc>
                <w:tcPr>
                  <w:tcW w:w="3431" w:type="pct"/>
                  <w:tcBorders>
                    <w:tl2br w:val="nil"/>
                    <w:tr2bl w:val="nil"/>
                  </w:tcBorders>
                  <w:vAlign w:val="center"/>
                </w:tcPr>
                <w:p>
                  <w:pPr>
                    <w:adjustRightInd w:val="0"/>
                    <w:snapToGrid w:val="0"/>
                    <w:spacing w:line="240" w:lineRule="auto"/>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辐射事故应急预案符合工作实际，应急预案明确应急处理组织机构及职责，处理原则，信息传递，处理程序和处理技术方案等，配备必要的应急器材、设备。针对使用射线装置过程中可能存在的风险，建立应急预案，落实必要的应急装备，组织进行辐射事故应急演练。</w:t>
                  </w:r>
                </w:p>
              </w:tc>
            </w:tr>
          </w:tbl>
          <w:p>
            <w:pPr>
              <w:pStyle w:val="25"/>
              <w:rPr>
                <w:rFonts w:hint="eastAsia" w:ascii="宋体" w:hAnsi="宋体" w:eastAsia="宋体" w:cs="宋体"/>
                <w:color w:val="0000FF"/>
                <w:highlight w:val="none"/>
              </w:rPr>
            </w:pPr>
          </w:p>
          <w:p>
            <w:pPr>
              <w:spacing w:line="336" w:lineRule="auto"/>
              <w:rPr>
                <w:rFonts w:hint="eastAsia" w:ascii="宋体" w:hAnsi="宋体" w:eastAsia="宋体" w:cs="宋体"/>
                <w:color w:val="0000FF"/>
                <w:sz w:val="24"/>
                <w:highlight w:val="none"/>
              </w:rPr>
            </w:pPr>
          </w:p>
          <w:p>
            <w:pPr>
              <w:spacing w:line="336" w:lineRule="auto"/>
              <w:rPr>
                <w:rFonts w:hint="eastAsia" w:ascii="宋体" w:hAnsi="宋体" w:eastAsia="宋体" w:cs="宋体"/>
                <w:color w:val="0000FF"/>
                <w:sz w:val="24"/>
                <w:highlight w:val="none"/>
              </w:rPr>
            </w:pPr>
          </w:p>
          <w:p>
            <w:pPr>
              <w:spacing w:line="336" w:lineRule="auto"/>
              <w:rPr>
                <w:rFonts w:hint="eastAsia" w:ascii="宋体" w:hAnsi="宋体" w:eastAsia="宋体" w:cs="宋体"/>
                <w:color w:val="0000FF"/>
                <w:sz w:val="24"/>
                <w:highlight w:val="none"/>
              </w:rPr>
            </w:pPr>
          </w:p>
        </w:tc>
      </w:tr>
    </w:tbl>
    <w:p>
      <w:pPr>
        <w:spacing w:line="360" w:lineRule="auto"/>
        <w:outlineLvl w:val="0"/>
        <w:rPr>
          <w:rFonts w:hint="eastAsia" w:ascii="宋体" w:hAnsi="宋体" w:eastAsia="宋体" w:cs="宋体"/>
          <w:b/>
          <w:color w:val="0000FF"/>
          <w:sz w:val="24"/>
          <w:highlight w:val="none"/>
        </w:rPr>
      </w:pPr>
    </w:p>
    <w:p>
      <w:pPr>
        <w:pStyle w:val="25"/>
        <w:rPr>
          <w:rFonts w:hint="eastAsia" w:ascii="宋体" w:hAnsi="宋体" w:eastAsia="宋体" w:cs="宋体"/>
          <w:color w:val="0000FF"/>
          <w:highlight w:val="none"/>
        </w:rPr>
      </w:pPr>
      <w:r>
        <w:rPr>
          <w:rFonts w:hint="eastAsia" w:ascii="宋体" w:hAnsi="宋体" w:eastAsia="宋体" w:cs="宋体"/>
          <w:color w:val="0000FF"/>
          <w:highlight w:val="none"/>
        </w:rPr>
        <w:br w:type="page"/>
      </w:r>
    </w:p>
    <w:p>
      <w:pPr>
        <w:spacing w:line="360" w:lineRule="auto"/>
        <w:outlineLvl w:val="0"/>
        <w:rPr>
          <w:rFonts w:hint="eastAsia" w:ascii="宋体" w:hAnsi="宋体" w:eastAsia="宋体" w:cs="宋体"/>
          <w:b/>
          <w:color w:val="auto"/>
          <w:sz w:val="24"/>
          <w:highlight w:val="none"/>
        </w:rPr>
      </w:pPr>
      <w:bookmarkStart w:id="14" w:name="_Toc24160"/>
      <w:r>
        <w:rPr>
          <w:rFonts w:hint="eastAsia" w:ascii="宋体" w:hAnsi="宋体" w:eastAsia="宋体" w:cs="宋体"/>
          <w:b/>
          <w:color w:val="auto"/>
          <w:sz w:val="24"/>
          <w:highlight w:val="none"/>
        </w:rPr>
        <w:t>表13 结论与建议</w:t>
      </w:r>
      <w:bookmarkEnd w:id="14"/>
    </w:p>
    <w:tbl>
      <w:tblPr>
        <w:tblStyle w:val="1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none" w:color="auto" w:sz="0"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none" w:color="auto" w:sz="0" w:space="0"/>
          </w:tblBorders>
          <w:tblCellMar>
            <w:top w:w="0" w:type="dxa"/>
            <w:left w:w="108" w:type="dxa"/>
            <w:bottom w:w="0" w:type="dxa"/>
            <w:right w:w="108" w:type="dxa"/>
          </w:tblCellMar>
        </w:tblPrEx>
        <w:trPr>
          <w:trHeight w:val="5670" w:hRule="atLeast"/>
        </w:trPr>
        <w:tc>
          <w:tcPr>
            <w:tcW w:w="8522" w:type="dxa"/>
          </w:tcPr>
          <w:p>
            <w:pPr>
              <w:spacing w:line="360" w:lineRule="auto"/>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13.1结论</w:t>
            </w:r>
          </w:p>
          <w:p>
            <w:pPr>
              <w:autoSpaceDE w:val="0"/>
              <w:autoSpaceDN w:val="0"/>
              <w:adjustRightInd w:val="0"/>
              <w:spacing w:line="360" w:lineRule="auto"/>
              <w:jc w:val="left"/>
              <w:rPr>
                <w:rFonts w:hint="eastAsia" w:ascii="宋体" w:hAnsi="宋体" w:eastAsia="宋体" w:cs="宋体"/>
                <w:b/>
                <w:color w:val="auto"/>
                <w:sz w:val="24"/>
                <w:szCs w:val="24"/>
                <w:highlight w:val="none"/>
              </w:rPr>
            </w:pPr>
            <w:r>
              <w:rPr>
                <w:rFonts w:hint="eastAsia" w:ascii="宋体" w:hAnsi="宋体" w:eastAsia="宋体" w:cs="宋体"/>
                <w:b/>
                <w:color w:val="auto"/>
                <w:kern w:val="0"/>
                <w:sz w:val="24"/>
                <w:szCs w:val="24"/>
                <w:highlight w:val="none"/>
              </w:rPr>
              <w:t>13.1.1</w:t>
            </w:r>
            <w:r>
              <w:rPr>
                <w:rFonts w:hint="eastAsia" w:ascii="宋体" w:hAnsi="宋体" w:eastAsia="宋体" w:cs="宋体"/>
                <w:b/>
                <w:color w:val="auto"/>
                <w:kern w:val="0"/>
                <w:sz w:val="24"/>
                <w:szCs w:val="24"/>
                <w:highlight w:val="none"/>
                <w:lang w:val="en-US" w:eastAsia="zh-CN"/>
              </w:rPr>
              <w:t xml:space="preserve"> </w:t>
            </w:r>
            <w:r>
              <w:rPr>
                <w:rFonts w:hint="eastAsia" w:ascii="宋体" w:hAnsi="宋体" w:eastAsia="宋体" w:cs="宋体"/>
                <w:b/>
                <w:color w:val="auto"/>
                <w:sz w:val="24"/>
                <w:szCs w:val="24"/>
                <w:highlight w:val="none"/>
              </w:rPr>
              <w:t>产业符合性分析</w:t>
            </w:r>
          </w:p>
          <w:p>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本项目建设属于《产业结构调整指导目录（2019年本》中鼓励类第三十七大类卫生健康</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符合国家产业政策要求。</w:t>
            </w:r>
          </w:p>
          <w:p>
            <w:pPr>
              <w:autoSpaceDE w:val="0"/>
              <w:autoSpaceDN w:val="0"/>
              <w:adjustRightInd w:val="0"/>
              <w:spacing w:line="360" w:lineRule="auto"/>
              <w:jc w:val="left"/>
              <w:rPr>
                <w:rFonts w:hint="eastAsia" w:ascii="宋体" w:hAnsi="宋体" w:eastAsia="宋体" w:cs="宋体"/>
                <w:b/>
                <w:color w:val="auto"/>
                <w:kern w:val="0"/>
                <w:sz w:val="24"/>
                <w:szCs w:val="24"/>
                <w:highlight w:val="none"/>
              </w:rPr>
            </w:pPr>
            <w:r>
              <w:rPr>
                <w:rFonts w:hint="eastAsia" w:ascii="宋体" w:hAnsi="宋体" w:eastAsia="宋体" w:cs="宋体"/>
                <w:b/>
                <w:color w:val="auto"/>
                <w:kern w:val="0"/>
                <w:sz w:val="24"/>
                <w:szCs w:val="24"/>
                <w:highlight w:val="none"/>
              </w:rPr>
              <w:t>13.1.2</w:t>
            </w:r>
            <w:r>
              <w:rPr>
                <w:rFonts w:hint="eastAsia" w:ascii="宋体" w:hAnsi="宋体" w:eastAsia="宋体" w:cs="宋体"/>
                <w:b/>
                <w:color w:val="auto"/>
                <w:kern w:val="0"/>
                <w:sz w:val="24"/>
                <w:szCs w:val="24"/>
                <w:highlight w:val="none"/>
                <w:lang w:val="en-US" w:eastAsia="zh-CN"/>
              </w:rPr>
              <w:t xml:space="preserve"> </w:t>
            </w:r>
            <w:r>
              <w:rPr>
                <w:rFonts w:hint="eastAsia" w:ascii="宋体" w:hAnsi="宋体" w:eastAsia="宋体" w:cs="宋体"/>
                <w:b/>
                <w:color w:val="auto"/>
                <w:kern w:val="0"/>
                <w:sz w:val="24"/>
                <w:szCs w:val="24"/>
                <w:highlight w:val="none"/>
              </w:rPr>
              <w:t>实践正当性</w:t>
            </w:r>
          </w:p>
          <w:p>
            <w:pPr>
              <w:spacing w:line="360" w:lineRule="auto"/>
              <w:ind w:firstLine="48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本项目建设内容为拟在</w:t>
            </w:r>
            <w:r>
              <w:rPr>
                <w:rFonts w:hint="eastAsia" w:ascii="宋体" w:hAnsi="宋体" w:eastAsia="宋体" w:cs="宋体"/>
                <w:color w:val="auto"/>
                <w:sz w:val="24"/>
                <w:szCs w:val="24"/>
                <w:highlight w:val="none"/>
                <w:lang w:val="en-US" w:eastAsia="zh-CN"/>
              </w:rPr>
              <w:t>双鸭山双矿医院有限公司院内</w:t>
            </w:r>
            <w:r>
              <w:rPr>
                <w:rFonts w:hint="eastAsia" w:ascii="宋体" w:hAnsi="宋体" w:eastAsia="宋体" w:cs="宋体"/>
                <w:color w:val="auto"/>
                <w:sz w:val="24"/>
                <w:szCs w:val="24"/>
                <w:highlight w:val="none"/>
              </w:rPr>
              <w:t>新建直线加速器机房</w:t>
            </w: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rPr>
              <w:t>座，应用1台</w:t>
            </w:r>
            <w:r>
              <w:rPr>
                <w:rFonts w:hint="eastAsia" w:ascii="宋体" w:hAnsi="宋体" w:eastAsia="宋体" w:cs="宋体"/>
                <w:color w:val="auto"/>
                <w:sz w:val="24"/>
                <w:szCs w:val="24"/>
                <w:highlight w:val="none"/>
                <w:lang w:val="en-US" w:eastAsia="zh-CN"/>
              </w:rPr>
              <w:t>10</w:t>
            </w:r>
            <w:r>
              <w:rPr>
                <w:rFonts w:hint="eastAsia" w:ascii="宋体" w:hAnsi="宋体" w:eastAsia="宋体" w:cs="宋体"/>
                <w:color w:val="auto"/>
                <w:sz w:val="24"/>
                <w:szCs w:val="24"/>
                <w:highlight w:val="none"/>
              </w:rPr>
              <w:t>MV的直线加速器，目的是用于肿瘤患者的治疗，以提高医疗水平和治愈疾病。</w:t>
            </w:r>
          </w:p>
          <w:p>
            <w:pPr>
              <w:spacing w:line="360" w:lineRule="auto"/>
              <w:ind w:firstLine="48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因此，该项目符合《电离辐射防护与辐射安全基本标准》（GB18871-2002）中辐射防护“实践的正当性”的要求。</w:t>
            </w:r>
          </w:p>
          <w:p>
            <w:pPr>
              <w:autoSpaceDE w:val="0"/>
              <w:autoSpaceDN w:val="0"/>
              <w:adjustRightInd w:val="0"/>
              <w:spacing w:line="360" w:lineRule="auto"/>
              <w:jc w:val="left"/>
              <w:rPr>
                <w:rFonts w:hint="eastAsia" w:ascii="宋体" w:hAnsi="宋体" w:eastAsia="宋体" w:cs="宋体"/>
                <w:b/>
                <w:color w:val="auto"/>
                <w:kern w:val="0"/>
                <w:sz w:val="24"/>
                <w:szCs w:val="24"/>
                <w:highlight w:val="none"/>
              </w:rPr>
            </w:pPr>
            <w:r>
              <w:rPr>
                <w:rFonts w:hint="eastAsia" w:ascii="宋体" w:hAnsi="宋体" w:eastAsia="宋体" w:cs="宋体"/>
                <w:b/>
                <w:color w:val="auto"/>
                <w:sz w:val="24"/>
                <w:szCs w:val="24"/>
                <w:highlight w:val="none"/>
              </w:rPr>
              <w:t>13.1.3</w:t>
            </w:r>
            <w:r>
              <w:rPr>
                <w:rFonts w:hint="eastAsia" w:ascii="宋体" w:hAnsi="宋体" w:eastAsia="宋体" w:cs="宋体"/>
                <w:b/>
                <w:color w:val="auto"/>
                <w:sz w:val="24"/>
                <w:szCs w:val="24"/>
                <w:highlight w:val="none"/>
                <w:lang w:val="en-US" w:eastAsia="zh-CN"/>
              </w:rPr>
              <w:t xml:space="preserve"> </w:t>
            </w:r>
            <w:r>
              <w:rPr>
                <w:rFonts w:hint="eastAsia" w:ascii="宋体" w:hAnsi="宋体" w:eastAsia="宋体" w:cs="宋体"/>
                <w:b/>
                <w:color w:val="auto"/>
                <w:kern w:val="0"/>
                <w:sz w:val="24"/>
                <w:szCs w:val="24"/>
                <w:highlight w:val="none"/>
              </w:rPr>
              <w:t>辐射环境现状评价</w:t>
            </w:r>
          </w:p>
          <w:p>
            <w:pPr>
              <w:autoSpaceDE w:val="0"/>
              <w:autoSpaceDN w:val="0"/>
              <w:adjustRightInd w:val="0"/>
              <w:spacing w:line="360" w:lineRule="auto"/>
              <w:ind w:firstLine="480" w:firstLineChars="200"/>
              <w:jc w:val="left"/>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由黑龙江沣淳环保科技有限公司提供的监测报告可知：拟建加速器机房所在区域</w:t>
            </w:r>
            <w:r>
              <w:rPr>
                <w:rFonts w:hint="eastAsia" w:ascii="宋体" w:hAnsi="宋体" w:eastAsia="宋体" w:cs="宋体"/>
                <w:color w:val="auto"/>
                <w:kern w:val="0"/>
                <w:sz w:val="24"/>
                <w:szCs w:val="24"/>
                <w:highlight w:val="none"/>
                <w:lang w:val="en-US" w:eastAsia="zh-CN"/>
              </w:rPr>
              <w:t>及周围敏感目标</w:t>
            </w:r>
            <w:r>
              <w:rPr>
                <w:rFonts w:hint="eastAsia" w:ascii="宋体" w:hAnsi="宋体" w:eastAsia="宋体" w:cs="宋体"/>
                <w:color w:val="auto"/>
                <w:kern w:val="0"/>
                <w:sz w:val="24"/>
                <w:szCs w:val="24"/>
                <w:highlight w:val="none"/>
              </w:rPr>
              <w:t>各监测点的γ辐射</w:t>
            </w:r>
            <w:r>
              <w:rPr>
                <w:rFonts w:hint="eastAsia" w:ascii="宋体" w:hAnsi="宋体" w:eastAsia="宋体" w:cs="宋体"/>
                <w:color w:val="auto"/>
                <w:kern w:val="0"/>
                <w:sz w:val="24"/>
                <w:szCs w:val="24"/>
                <w:highlight w:val="none"/>
                <w:lang w:val="en-US" w:eastAsia="zh-CN"/>
              </w:rPr>
              <w:t>空气吸收</w:t>
            </w:r>
            <w:r>
              <w:rPr>
                <w:rFonts w:hint="eastAsia" w:ascii="宋体" w:hAnsi="宋体" w:eastAsia="宋体" w:cs="宋体"/>
                <w:color w:val="auto"/>
                <w:kern w:val="0"/>
                <w:sz w:val="24"/>
                <w:szCs w:val="24"/>
                <w:highlight w:val="none"/>
              </w:rPr>
              <w:t>剂量率处于黑龙江省天然γ辐射剂量率范围内，监测结果未见异常。</w:t>
            </w:r>
          </w:p>
          <w:p>
            <w:pPr>
              <w:autoSpaceDE w:val="0"/>
              <w:autoSpaceDN w:val="0"/>
              <w:adjustRightInd w:val="0"/>
              <w:spacing w:line="360" w:lineRule="auto"/>
              <w:jc w:val="left"/>
              <w:rPr>
                <w:rFonts w:hint="eastAsia" w:ascii="宋体" w:hAnsi="宋体" w:eastAsia="宋体" w:cs="宋体"/>
                <w:b/>
                <w:color w:val="auto"/>
                <w:kern w:val="0"/>
                <w:sz w:val="24"/>
                <w:szCs w:val="24"/>
                <w:highlight w:val="none"/>
              </w:rPr>
            </w:pPr>
            <w:r>
              <w:rPr>
                <w:rFonts w:hint="eastAsia" w:ascii="宋体" w:hAnsi="宋体" w:eastAsia="宋体" w:cs="宋体"/>
                <w:b/>
                <w:color w:val="auto"/>
                <w:kern w:val="0"/>
                <w:sz w:val="24"/>
                <w:szCs w:val="24"/>
                <w:highlight w:val="none"/>
              </w:rPr>
              <w:t>13.1.4</w:t>
            </w:r>
            <w:r>
              <w:rPr>
                <w:rFonts w:hint="eastAsia" w:ascii="宋体" w:hAnsi="宋体" w:eastAsia="宋体" w:cs="宋体"/>
                <w:b/>
                <w:color w:val="auto"/>
                <w:kern w:val="0"/>
                <w:sz w:val="24"/>
                <w:szCs w:val="24"/>
                <w:highlight w:val="none"/>
                <w:lang w:val="en-US" w:eastAsia="zh-CN"/>
              </w:rPr>
              <w:t xml:space="preserve"> </w:t>
            </w:r>
            <w:r>
              <w:rPr>
                <w:rFonts w:hint="eastAsia" w:ascii="宋体" w:hAnsi="宋体" w:eastAsia="宋体" w:cs="宋体"/>
                <w:b/>
                <w:color w:val="auto"/>
                <w:kern w:val="0"/>
                <w:sz w:val="24"/>
                <w:szCs w:val="24"/>
                <w:highlight w:val="none"/>
              </w:rPr>
              <w:t>辐射安全与防护</w:t>
            </w:r>
          </w:p>
          <w:p>
            <w:pPr>
              <w:autoSpaceDE w:val="0"/>
              <w:autoSpaceDN w:val="0"/>
              <w:adjustRightInd w:val="0"/>
              <w:spacing w:line="360" w:lineRule="auto"/>
              <w:ind w:firstLine="465"/>
              <w:jc w:val="left"/>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该医院加速器装置拟采取有效的辐射防护屏蔽设计，拟设置辐射指示灯和辐射警告标志、对加速器所在区域分区管理、设置紧急停止按钮、安装通风换气系统、监视和对讲设备，并配备相关的辐射防护监测仪器和防护用具，符合相关要求。</w:t>
            </w:r>
          </w:p>
          <w:p>
            <w:pPr>
              <w:autoSpaceDE w:val="0"/>
              <w:autoSpaceDN w:val="0"/>
              <w:adjustRightInd w:val="0"/>
              <w:spacing w:line="360" w:lineRule="auto"/>
              <w:jc w:val="left"/>
              <w:rPr>
                <w:rFonts w:hint="eastAsia" w:ascii="宋体" w:hAnsi="宋体" w:eastAsia="宋体" w:cs="宋体"/>
                <w:b/>
                <w:color w:val="auto"/>
                <w:kern w:val="0"/>
                <w:sz w:val="24"/>
                <w:szCs w:val="24"/>
                <w:highlight w:val="none"/>
              </w:rPr>
            </w:pPr>
            <w:r>
              <w:rPr>
                <w:rFonts w:hint="eastAsia" w:ascii="宋体" w:hAnsi="宋体" w:eastAsia="宋体" w:cs="宋体"/>
                <w:b/>
                <w:color w:val="auto"/>
                <w:kern w:val="0"/>
                <w:sz w:val="24"/>
                <w:szCs w:val="24"/>
                <w:highlight w:val="none"/>
              </w:rPr>
              <w:t>13.1.5</w:t>
            </w:r>
            <w:r>
              <w:rPr>
                <w:rFonts w:hint="eastAsia" w:ascii="宋体" w:hAnsi="宋体" w:eastAsia="宋体" w:cs="宋体"/>
                <w:b/>
                <w:color w:val="auto"/>
                <w:kern w:val="0"/>
                <w:sz w:val="24"/>
                <w:szCs w:val="24"/>
                <w:highlight w:val="none"/>
                <w:lang w:val="en-US" w:eastAsia="zh-CN"/>
              </w:rPr>
              <w:t xml:space="preserve"> </w:t>
            </w:r>
            <w:r>
              <w:rPr>
                <w:rFonts w:hint="eastAsia" w:ascii="宋体" w:hAnsi="宋体" w:eastAsia="宋体" w:cs="宋体"/>
                <w:b/>
                <w:color w:val="auto"/>
                <w:kern w:val="0"/>
                <w:sz w:val="24"/>
                <w:szCs w:val="24"/>
                <w:highlight w:val="none"/>
              </w:rPr>
              <w:t>辐射环境影响分析</w:t>
            </w:r>
          </w:p>
          <w:p>
            <w:pPr>
              <w:spacing w:line="360" w:lineRule="auto"/>
              <w:ind w:firstLine="480"/>
              <w:rPr>
                <w:rFonts w:hint="eastAsia" w:ascii="宋体" w:hAnsi="宋体" w:eastAsia="宋体" w:cs="宋体"/>
                <w:color w:val="auto"/>
                <w:kern w:val="0"/>
                <w:sz w:val="24"/>
                <w:szCs w:val="24"/>
                <w:highlight w:val="none"/>
              </w:rPr>
            </w:pPr>
            <w:r>
              <w:rPr>
                <w:rFonts w:hint="eastAsia" w:ascii="宋体" w:hAnsi="宋体" w:eastAsia="宋体" w:cs="宋体"/>
                <w:color w:val="auto"/>
                <w:sz w:val="24"/>
                <w:szCs w:val="24"/>
                <w:highlight w:val="none"/>
              </w:rPr>
              <w:t>由计算结果可知，加速器机房屏蔽墙外以及迷路防护门外剂量率，均低于</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放射治疗辐射安全与防护要求</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HJ1198-2021</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中周围剂量当量率控制水平</w:t>
            </w:r>
            <w:r>
              <w:rPr>
                <w:rFonts w:hint="eastAsia" w:ascii="宋体" w:hAnsi="宋体" w:eastAsia="宋体" w:cs="宋体"/>
                <w:color w:val="auto"/>
                <w:kern w:val="0"/>
                <w:sz w:val="24"/>
                <w:szCs w:val="24"/>
                <w:highlight w:val="none"/>
              </w:rPr>
              <w:t>的要求。</w:t>
            </w:r>
          </w:p>
          <w:p>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通过预测计算可知，本项目建成后，加速器机房</w:t>
            </w:r>
            <w:r>
              <w:rPr>
                <w:rFonts w:hint="eastAsia" w:ascii="宋体" w:hAnsi="宋体" w:eastAsia="宋体" w:cs="宋体"/>
                <w:color w:val="auto"/>
                <w:kern w:val="0"/>
                <w:sz w:val="24"/>
                <w:szCs w:val="24"/>
                <w:highlight w:val="none"/>
              </w:rPr>
              <w:t>辐</w:t>
            </w:r>
            <w:r>
              <w:rPr>
                <w:rFonts w:hint="eastAsia" w:ascii="宋体" w:hAnsi="宋体" w:eastAsia="宋体" w:cs="宋体"/>
                <w:color w:val="auto"/>
                <w:sz w:val="24"/>
                <w:szCs w:val="24"/>
                <w:highlight w:val="none"/>
              </w:rPr>
              <w:t>射防护符合相关要求。该医院的辐射工作人员和公众所受的年附加有效剂量当量分别低于剂量约束限值5mSv/a和0.</w:t>
            </w: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rPr>
              <w:t>mSv/a，符合</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放射治疗辐射安全与防护要求</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HJ1198-2021</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中关于“剂量限值”的要求。</w:t>
            </w:r>
          </w:p>
          <w:p>
            <w:pPr>
              <w:autoSpaceDE w:val="0"/>
              <w:autoSpaceDN w:val="0"/>
              <w:adjustRightInd w:val="0"/>
              <w:spacing w:line="360" w:lineRule="auto"/>
              <w:jc w:val="left"/>
              <w:rPr>
                <w:rFonts w:hint="eastAsia" w:ascii="宋体" w:hAnsi="宋体" w:eastAsia="宋体" w:cs="宋体"/>
                <w:b/>
                <w:color w:val="auto"/>
                <w:kern w:val="0"/>
                <w:sz w:val="24"/>
                <w:szCs w:val="24"/>
                <w:highlight w:val="none"/>
              </w:rPr>
            </w:pPr>
            <w:r>
              <w:rPr>
                <w:rFonts w:hint="eastAsia" w:ascii="宋体" w:hAnsi="宋体" w:eastAsia="宋体" w:cs="宋体"/>
                <w:b/>
                <w:color w:val="auto"/>
                <w:kern w:val="0"/>
                <w:sz w:val="24"/>
                <w:szCs w:val="24"/>
                <w:highlight w:val="none"/>
              </w:rPr>
              <w:t>13.1.6</w:t>
            </w:r>
            <w:r>
              <w:rPr>
                <w:rFonts w:hint="eastAsia" w:ascii="宋体" w:hAnsi="宋体" w:eastAsia="宋体" w:cs="宋体"/>
                <w:b/>
                <w:color w:val="auto"/>
                <w:kern w:val="0"/>
                <w:sz w:val="24"/>
                <w:szCs w:val="24"/>
                <w:highlight w:val="none"/>
                <w:lang w:val="en-US" w:eastAsia="zh-CN"/>
              </w:rPr>
              <w:t xml:space="preserve"> </w:t>
            </w:r>
            <w:r>
              <w:rPr>
                <w:rFonts w:hint="eastAsia" w:ascii="宋体" w:hAnsi="宋体" w:eastAsia="宋体" w:cs="宋体"/>
                <w:b/>
                <w:color w:val="auto"/>
                <w:kern w:val="0"/>
                <w:sz w:val="24"/>
                <w:szCs w:val="24"/>
                <w:highlight w:val="none"/>
              </w:rPr>
              <w:t>辐射安全管理制度</w:t>
            </w:r>
          </w:p>
          <w:p>
            <w:pPr>
              <w:autoSpaceDE w:val="0"/>
              <w:autoSpaceDN w:val="0"/>
              <w:adjustRightInd w:val="0"/>
              <w:spacing w:line="360" w:lineRule="auto"/>
              <w:ind w:firstLine="480" w:firstLineChars="200"/>
              <w:jc w:val="left"/>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该医院设置了专门的辐射安全管理机构，制定操作规程、维修制度、人员培训计划、辐射事故应急预案等相关规章制度，并建立个人剂量档案和健康档案等，符合《放射性同位素与射线装置安全许可管理办法》的相关规定。</w:t>
            </w:r>
          </w:p>
          <w:p>
            <w:pPr>
              <w:spacing w:line="360" w:lineRule="auto"/>
              <w:rPr>
                <w:rFonts w:hint="eastAsia" w:ascii="宋体" w:hAnsi="宋体" w:eastAsia="宋体" w:cs="宋体"/>
                <w:b/>
                <w:color w:val="auto"/>
                <w:kern w:val="0"/>
                <w:sz w:val="24"/>
                <w:szCs w:val="24"/>
                <w:highlight w:val="none"/>
              </w:rPr>
            </w:pPr>
            <w:r>
              <w:rPr>
                <w:rFonts w:hint="eastAsia" w:ascii="宋体" w:hAnsi="宋体" w:eastAsia="宋体" w:cs="宋体"/>
                <w:b/>
                <w:color w:val="auto"/>
                <w:kern w:val="0"/>
                <w:sz w:val="24"/>
                <w:szCs w:val="24"/>
                <w:highlight w:val="none"/>
              </w:rPr>
              <w:t>13.1.7</w:t>
            </w:r>
            <w:r>
              <w:rPr>
                <w:rFonts w:hint="eastAsia" w:ascii="宋体" w:hAnsi="宋体" w:eastAsia="宋体" w:cs="宋体"/>
                <w:b/>
                <w:color w:val="auto"/>
                <w:kern w:val="0"/>
                <w:sz w:val="24"/>
                <w:szCs w:val="24"/>
                <w:highlight w:val="none"/>
                <w:lang w:val="en-US" w:eastAsia="zh-CN"/>
              </w:rPr>
              <w:t xml:space="preserve"> </w:t>
            </w:r>
            <w:r>
              <w:rPr>
                <w:rFonts w:hint="eastAsia" w:ascii="宋体" w:hAnsi="宋体" w:eastAsia="宋体" w:cs="宋体"/>
                <w:b/>
                <w:color w:val="auto"/>
                <w:kern w:val="0"/>
                <w:sz w:val="24"/>
                <w:szCs w:val="24"/>
                <w:highlight w:val="none"/>
              </w:rPr>
              <w:t>可行性分析结论</w:t>
            </w:r>
          </w:p>
          <w:p>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highlight w:val="none"/>
              </w:rPr>
              <w:t>综上所述，</w:t>
            </w:r>
            <w:r>
              <w:rPr>
                <w:rFonts w:hint="eastAsia" w:ascii="宋体" w:hAnsi="宋体" w:eastAsia="宋体" w:cs="宋体"/>
                <w:color w:val="auto"/>
                <w:kern w:val="0"/>
                <w:sz w:val="24"/>
                <w:szCs w:val="24"/>
                <w:highlight w:val="none"/>
                <w:lang w:val="en-US" w:eastAsia="zh-CN"/>
              </w:rPr>
              <w:t>在</w:t>
            </w:r>
            <w:r>
              <w:rPr>
                <w:rFonts w:hint="eastAsia" w:ascii="宋体" w:hAnsi="宋体" w:eastAsia="宋体" w:cs="宋体"/>
                <w:color w:val="auto"/>
                <w:sz w:val="24"/>
                <w:szCs w:val="24"/>
                <w:highlight w:val="none"/>
                <w:lang w:val="en-US" w:eastAsia="zh-CN"/>
              </w:rPr>
              <w:t>双鸭山双矿医院有限公司院内建设直线加速器机房一座</w:t>
            </w:r>
            <w:r>
              <w:rPr>
                <w:rFonts w:hint="eastAsia" w:ascii="宋体" w:hAnsi="宋体" w:eastAsia="宋体" w:cs="宋体"/>
                <w:color w:val="auto"/>
                <w:sz w:val="24"/>
                <w:szCs w:val="24"/>
                <w:highlight w:val="none"/>
              </w:rPr>
              <w:t>，并应用1台</w:t>
            </w:r>
            <w:r>
              <w:rPr>
                <w:rFonts w:hint="eastAsia" w:ascii="宋体" w:hAnsi="宋体" w:eastAsia="宋体" w:cs="宋体"/>
                <w:color w:val="auto"/>
                <w:sz w:val="24"/>
                <w:szCs w:val="24"/>
                <w:highlight w:val="none"/>
                <w:lang w:val="en-US" w:eastAsia="zh-CN"/>
              </w:rPr>
              <w:t>10</w:t>
            </w:r>
            <w:r>
              <w:rPr>
                <w:rFonts w:hint="eastAsia" w:ascii="宋体" w:hAnsi="宋体" w:eastAsia="宋体" w:cs="宋体"/>
                <w:color w:val="auto"/>
                <w:sz w:val="24"/>
                <w:szCs w:val="24"/>
                <w:highlight w:val="none"/>
              </w:rPr>
              <w:t>MV的直线加速器，用于患者的治疗，以提高医疗水平和治愈疾病，符合国家产业政策以及“实践的正当性”的要求。</w:t>
            </w:r>
            <w:r>
              <w:rPr>
                <w:rFonts w:hint="eastAsia" w:ascii="宋体" w:hAnsi="宋体" w:eastAsia="宋体" w:cs="宋体"/>
                <w:color w:val="auto"/>
                <w:kern w:val="0"/>
                <w:sz w:val="24"/>
                <w:szCs w:val="24"/>
                <w:highlight w:val="none"/>
              </w:rPr>
              <w:t>只要严格落实本评价报告所提出的各项污染防治措施和辐射管理计划，该项目对工作人员、公众和周围环境的辐射影响就可以控制在国家允许的标准范围之内。</w:t>
            </w:r>
          </w:p>
          <w:p>
            <w:pPr>
              <w:spacing w:line="360" w:lineRule="auto"/>
              <w:jc w:val="left"/>
              <w:rPr>
                <w:rFonts w:hint="eastAsia" w:ascii="宋体" w:hAnsi="宋体" w:eastAsia="宋体" w:cs="宋体"/>
                <w:b/>
                <w:bCs/>
                <w:color w:val="auto"/>
                <w:kern w:val="0"/>
                <w:sz w:val="24"/>
                <w:szCs w:val="24"/>
                <w:highlight w:val="none"/>
              </w:rPr>
            </w:pPr>
            <w:r>
              <w:rPr>
                <w:rFonts w:hint="eastAsia" w:ascii="宋体" w:hAnsi="宋体" w:eastAsia="宋体" w:cs="宋体"/>
                <w:color w:val="auto"/>
                <w:kern w:val="0"/>
                <w:sz w:val="24"/>
                <w:szCs w:val="24"/>
                <w:highlight w:val="none"/>
              </w:rPr>
              <w:t xml:space="preserve">    因此，从辐射安全和环境保护角度，</w:t>
            </w:r>
            <w:r>
              <w:rPr>
                <w:rFonts w:hint="eastAsia" w:ascii="宋体" w:hAnsi="宋体" w:eastAsia="宋体" w:cs="宋体"/>
                <w:color w:val="auto"/>
                <w:sz w:val="24"/>
                <w:szCs w:val="24"/>
                <w:highlight w:val="none"/>
                <w:lang w:eastAsia="zh-CN"/>
              </w:rPr>
              <w:t>双鸭山双矿医院有限公司直线加速器设备机房建设项目</w:t>
            </w:r>
            <w:r>
              <w:rPr>
                <w:rFonts w:hint="eastAsia" w:ascii="宋体" w:hAnsi="宋体" w:eastAsia="宋体" w:cs="宋体"/>
                <w:color w:val="auto"/>
                <w:sz w:val="24"/>
                <w:szCs w:val="24"/>
                <w:highlight w:val="none"/>
              </w:rPr>
              <w:t>的建设</w:t>
            </w:r>
            <w:r>
              <w:rPr>
                <w:rFonts w:hint="eastAsia" w:ascii="宋体" w:hAnsi="宋体" w:eastAsia="宋体" w:cs="宋体"/>
                <w:color w:val="auto"/>
                <w:kern w:val="0"/>
                <w:sz w:val="24"/>
                <w:szCs w:val="24"/>
                <w:highlight w:val="none"/>
              </w:rPr>
              <w:t>是可行的。</w:t>
            </w:r>
          </w:p>
          <w:p>
            <w:pPr>
              <w:spacing w:line="360" w:lineRule="auto"/>
              <w:ind w:firstLine="480" w:firstLineChars="200"/>
              <w:rPr>
                <w:rFonts w:hint="eastAsia" w:ascii="宋体" w:hAnsi="宋体" w:eastAsia="宋体" w:cs="宋体"/>
                <w:color w:val="0000FF"/>
                <w:kern w:val="0"/>
                <w:sz w:val="24"/>
                <w:highlight w:val="none"/>
              </w:rPr>
            </w:pPr>
          </w:p>
          <w:p>
            <w:pPr>
              <w:spacing w:line="360" w:lineRule="auto"/>
              <w:ind w:firstLine="480" w:firstLineChars="200"/>
              <w:rPr>
                <w:rFonts w:hint="eastAsia" w:ascii="宋体" w:hAnsi="宋体" w:eastAsia="宋体" w:cs="宋体"/>
                <w:color w:val="0000FF"/>
                <w:kern w:val="0"/>
                <w:sz w:val="24"/>
                <w:highlight w:val="none"/>
              </w:rPr>
            </w:pPr>
          </w:p>
          <w:p>
            <w:pPr>
              <w:spacing w:line="360" w:lineRule="auto"/>
              <w:rPr>
                <w:rFonts w:hint="eastAsia" w:ascii="宋体" w:hAnsi="宋体" w:eastAsia="宋体" w:cs="宋体"/>
                <w:b/>
                <w:color w:val="0000FF"/>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none" w:color="auto" w:sz="0" w:space="0"/>
          </w:tblBorders>
          <w:tblCellMar>
            <w:top w:w="0" w:type="dxa"/>
            <w:left w:w="108" w:type="dxa"/>
            <w:bottom w:w="0" w:type="dxa"/>
            <w:right w:w="108" w:type="dxa"/>
          </w:tblCellMar>
        </w:tblPrEx>
        <w:trPr>
          <w:trHeight w:val="5670" w:hRule="atLeast"/>
        </w:trPr>
        <w:tc>
          <w:tcPr>
            <w:tcW w:w="8522" w:type="dxa"/>
          </w:tcPr>
          <w:p>
            <w:pPr>
              <w:rPr>
                <w:rFonts w:hint="eastAsia" w:ascii="宋体" w:hAnsi="宋体" w:eastAsia="宋体" w:cs="宋体"/>
                <w:color w:val="0000FF"/>
                <w:highlight w:val="none"/>
              </w:rPr>
            </w:pPr>
          </w:p>
          <w:p>
            <w:pPr>
              <w:spacing w:line="360" w:lineRule="auto"/>
              <w:rPr>
                <w:rFonts w:hint="eastAsia" w:ascii="宋体" w:hAnsi="宋体" w:eastAsia="宋体" w:cs="宋体"/>
                <w:b/>
                <w:color w:val="auto"/>
                <w:kern w:val="0"/>
                <w:sz w:val="24"/>
                <w:highlight w:val="none"/>
              </w:rPr>
            </w:pPr>
            <w:r>
              <w:rPr>
                <w:rFonts w:hint="eastAsia" w:ascii="宋体" w:hAnsi="宋体" w:eastAsia="宋体" w:cs="宋体"/>
                <w:b/>
                <w:color w:val="auto"/>
                <w:kern w:val="0"/>
                <w:sz w:val="24"/>
                <w:highlight w:val="none"/>
              </w:rPr>
              <w:t>13.2建议和承诺</w:t>
            </w:r>
          </w:p>
          <w:p>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（1）该单位应严格做好加速器装置的辐射防护工作。</w:t>
            </w:r>
          </w:p>
          <w:p>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（2）该项目在正式投入使用前应办理辐射安全许可证增项和验收工作。</w:t>
            </w:r>
          </w:p>
          <w:p>
            <w:pPr>
              <w:rPr>
                <w:rFonts w:hint="eastAsia" w:ascii="宋体" w:hAnsi="宋体" w:eastAsia="宋体" w:cs="宋体"/>
                <w:color w:val="0000FF"/>
                <w:highlight w:val="none"/>
              </w:rPr>
            </w:pPr>
          </w:p>
          <w:p>
            <w:pPr>
              <w:rPr>
                <w:rFonts w:hint="eastAsia" w:ascii="宋体" w:hAnsi="宋体" w:eastAsia="宋体" w:cs="宋体"/>
                <w:color w:val="0000FF"/>
                <w:highlight w:val="none"/>
              </w:rPr>
            </w:pPr>
          </w:p>
          <w:p>
            <w:pPr>
              <w:rPr>
                <w:rFonts w:hint="eastAsia" w:ascii="宋体" w:hAnsi="宋体" w:eastAsia="宋体" w:cs="宋体"/>
                <w:color w:val="0000FF"/>
                <w:highlight w:val="none"/>
              </w:rPr>
            </w:pPr>
          </w:p>
          <w:p>
            <w:pPr>
              <w:rPr>
                <w:rFonts w:hint="eastAsia" w:ascii="宋体" w:hAnsi="宋体" w:eastAsia="宋体" w:cs="宋体"/>
                <w:color w:val="0000FF"/>
                <w:highlight w:val="none"/>
              </w:rPr>
            </w:pPr>
          </w:p>
          <w:p>
            <w:pPr>
              <w:rPr>
                <w:rFonts w:hint="eastAsia" w:ascii="宋体" w:hAnsi="宋体" w:eastAsia="宋体" w:cs="宋体"/>
                <w:color w:val="0000FF"/>
                <w:highlight w:val="none"/>
              </w:rPr>
            </w:pPr>
          </w:p>
          <w:p>
            <w:pPr>
              <w:rPr>
                <w:rFonts w:hint="eastAsia" w:ascii="宋体" w:hAnsi="宋体" w:eastAsia="宋体" w:cs="宋体"/>
                <w:color w:val="0000FF"/>
                <w:highlight w:val="none"/>
              </w:rPr>
            </w:pPr>
          </w:p>
          <w:p>
            <w:pPr>
              <w:rPr>
                <w:rFonts w:hint="eastAsia" w:ascii="宋体" w:hAnsi="宋体" w:eastAsia="宋体" w:cs="宋体"/>
                <w:color w:val="0000FF"/>
                <w:highlight w:val="none"/>
              </w:rPr>
            </w:pPr>
          </w:p>
          <w:p>
            <w:pPr>
              <w:rPr>
                <w:rFonts w:hint="eastAsia" w:ascii="宋体" w:hAnsi="宋体" w:eastAsia="宋体" w:cs="宋体"/>
                <w:color w:val="0000FF"/>
                <w:highlight w:val="none"/>
              </w:rPr>
            </w:pPr>
          </w:p>
          <w:p>
            <w:pPr>
              <w:rPr>
                <w:rFonts w:hint="eastAsia" w:ascii="宋体" w:hAnsi="宋体" w:eastAsia="宋体" w:cs="宋体"/>
                <w:color w:val="0000FF"/>
                <w:highlight w:val="none"/>
              </w:rPr>
            </w:pPr>
          </w:p>
          <w:p>
            <w:pPr>
              <w:rPr>
                <w:rFonts w:hint="eastAsia" w:ascii="宋体" w:hAnsi="宋体" w:eastAsia="宋体" w:cs="宋体"/>
                <w:color w:val="0000FF"/>
                <w:highlight w:val="none"/>
              </w:rPr>
            </w:pPr>
          </w:p>
          <w:p>
            <w:pPr>
              <w:rPr>
                <w:rFonts w:hint="eastAsia" w:ascii="宋体" w:hAnsi="宋体" w:eastAsia="宋体" w:cs="宋体"/>
                <w:color w:val="0000FF"/>
                <w:highlight w:val="none"/>
              </w:rPr>
            </w:pPr>
          </w:p>
          <w:p>
            <w:pPr>
              <w:rPr>
                <w:rFonts w:hint="eastAsia" w:ascii="宋体" w:hAnsi="宋体" w:eastAsia="宋体" w:cs="宋体"/>
                <w:color w:val="0000FF"/>
                <w:highlight w:val="none"/>
              </w:rPr>
            </w:pPr>
          </w:p>
          <w:p>
            <w:pPr>
              <w:rPr>
                <w:rFonts w:hint="eastAsia" w:ascii="宋体" w:hAnsi="宋体" w:eastAsia="宋体" w:cs="宋体"/>
                <w:color w:val="0000FF"/>
                <w:highlight w:val="none"/>
              </w:rPr>
            </w:pPr>
          </w:p>
          <w:p>
            <w:pPr>
              <w:rPr>
                <w:rFonts w:hint="eastAsia" w:ascii="宋体" w:hAnsi="宋体" w:eastAsia="宋体" w:cs="宋体"/>
                <w:color w:val="0000FF"/>
                <w:highlight w:val="none"/>
              </w:rPr>
            </w:pPr>
          </w:p>
          <w:p>
            <w:pPr>
              <w:pStyle w:val="25"/>
              <w:rPr>
                <w:rFonts w:hint="eastAsia" w:ascii="宋体" w:hAnsi="宋体" w:eastAsia="宋体" w:cs="宋体"/>
                <w:color w:val="0000FF"/>
                <w:highlight w:val="none"/>
              </w:rPr>
            </w:pPr>
          </w:p>
          <w:p>
            <w:pPr>
              <w:rPr>
                <w:rFonts w:hint="eastAsia" w:ascii="宋体" w:hAnsi="宋体" w:eastAsia="宋体" w:cs="宋体"/>
                <w:color w:val="0000FF"/>
                <w:highlight w:val="none"/>
              </w:rPr>
            </w:pPr>
          </w:p>
        </w:tc>
      </w:tr>
    </w:tbl>
    <w:p>
      <w:pPr>
        <w:spacing w:line="360" w:lineRule="auto"/>
        <w:outlineLvl w:val="0"/>
        <w:rPr>
          <w:rFonts w:hint="eastAsia" w:ascii="宋体" w:hAnsi="宋体" w:eastAsia="宋体" w:cs="宋体"/>
          <w:b/>
          <w:color w:val="0000FF"/>
          <w:sz w:val="24"/>
          <w:highlight w:val="none"/>
        </w:rPr>
      </w:pPr>
      <w:bookmarkStart w:id="15" w:name="_Toc490644246"/>
    </w:p>
    <w:p>
      <w:pPr>
        <w:spacing w:line="360" w:lineRule="auto"/>
        <w:outlineLvl w:val="0"/>
        <w:rPr>
          <w:rFonts w:hint="eastAsia" w:ascii="宋体" w:hAnsi="宋体" w:eastAsia="宋体" w:cs="宋体"/>
          <w:b/>
          <w:color w:val="auto"/>
          <w:sz w:val="24"/>
          <w:highlight w:val="none"/>
        </w:rPr>
      </w:pPr>
      <w:bookmarkStart w:id="16" w:name="_Toc23598"/>
      <w:r>
        <w:rPr>
          <w:rFonts w:hint="eastAsia" w:ascii="宋体" w:hAnsi="宋体" w:eastAsia="宋体" w:cs="宋体"/>
          <w:b/>
          <w:color w:val="auto"/>
          <w:sz w:val="24"/>
          <w:highlight w:val="none"/>
        </w:rPr>
        <w:t>表14  审批</w:t>
      </w:r>
      <w:bookmarkEnd w:id="15"/>
      <w:bookmarkEnd w:id="16"/>
    </w:p>
    <w:tbl>
      <w:tblPr>
        <w:tblStyle w:val="1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none" w:color="auto" w:sz="0"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none" w:color="auto" w:sz="0" w:space="0"/>
          </w:tblBorders>
          <w:tblCellMar>
            <w:top w:w="0" w:type="dxa"/>
            <w:left w:w="108" w:type="dxa"/>
            <w:bottom w:w="0" w:type="dxa"/>
            <w:right w:w="108" w:type="dxa"/>
          </w:tblCellMar>
        </w:tblPrEx>
        <w:trPr>
          <w:trHeight w:val="6115" w:hRule="atLeast"/>
        </w:trPr>
        <w:tc>
          <w:tcPr>
            <w:tcW w:w="8522" w:type="dxa"/>
          </w:tcPr>
          <w:p>
            <w:pPr>
              <w:rPr>
                <w:rFonts w:hint="eastAsia" w:ascii="宋体" w:hAnsi="宋体" w:eastAsia="宋体" w:cs="宋体"/>
                <w:color w:val="auto"/>
                <w:highlight w:val="none"/>
              </w:rPr>
            </w:pPr>
          </w:p>
          <w:p>
            <w:pPr>
              <w:rPr>
                <w:rFonts w:hint="eastAsia" w:ascii="宋体" w:hAnsi="宋体" w:eastAsia="宋体" w:cs="宋体"/>
                <w:color w:val="auto"/>
                <w:sz w:val="24"/>
                <w:highlight w:val="none"/>
              </w:rPr>
            </w:pPr>
            <w:r>
              <w:rPr>
                <w:rFonts w:hint="eastAsia" w:ascii="宋体" w:hAnsi="宋体" w:eastAsia="宋体" w:cs="宋体"/>
                <w:color w:val="auto"/>
                <w:sz w:val="24"/>
                <w:highlight w:val="none"/>
              </w:rPr>
              <w:t>下一级环保部门预审意见：</w:t>
            </w:r>
          </w:p>
          <w:p>
            <w:pPr>
              <w:rPr>
                <w:rFonts w:hint="eastAsia" w:ascii="宋体" w:hAnsi="宋体" w:eastAsia="宋体" w:cs="宋体"/>
                <w:color w:val="auto"/>
                <w:highlight w:val="none"/>
              </w:rPr>
            </w:pPr>
          </w:p>
          <w:p>
            <w:pPr>
              <w:rPr>
                <w:rFonts w:hint="eastAsia" w:ascii="宋体" w:hAnsi="宋体" w:eastAsia="宋体" w:cs="宋体"/>
                <w:color w:val="auto"/>
                <w:highlight w:val="none"/>
              </w:rPr>
            </w:pPr>
          </w:p>
          <w:p>
            <w:pPr>
              <w:rPr>
                <w:rFonts w:hint="eastAsia" w:ascii="宋体" w:hAnsi="宋体" w:eastAsia="宋体" w:cs="宋体"/>
                <w:color w:val="auto"/>
                <w:highlight w:val="none"/>
              </w:rPr>
            </w:pPr>
          </w:p>
          <w:p>
            <w:pPr>
              <w:rPr>
                <w:rFonts w:hint="eastAsia" w:ascii="宋体" w:hAnsi="宋体" w:eastAsia="宋体" w:cs="宋体"/>
                <w:color w:val="auto"/>
                <w:highlight w:val="none"/>
              </w:rPr>
            </w:pPr>
          </w:p>
          <w:p>
            <w:pPr>
              <w:rPr>
                <w:rFonts w:hint="eastAsia" w:ascii="宋体" w:hAnsi="宋体" w:eastAsia="宋体" w:cs="宋体"/>
                <w:color w:val="auto"/>
                <w:highlight w:val="none"/>
              </w:rPr>
            </w:pPr>
          </w:p>
          <w:p>
            <w:pPr>
              <w:rPr>
                <w:rFonts w:hint="eastAsia" w:ascii="宋体" w:hAnsi="宋体" w:eastAsia="宋体" w:cs="宋体"/>
                <w:color w:val="auto"/>
                <w:highlight w:val="none"/>
              </w:rPr>
            </w:pPr>
          </w:p>
          <w:p>
            <w:pPr>
              <w:rPr>
                <w:rFonts w:hint="eastAsia" w:ascii="宋体" w:hAnsi="宋体" w:eastAsia="宋体" w:cs="宋体"/>
                <w:color w:val="auto"/>
                <w:highlight w:val="none"/>
              </w:rPr>
            </w:pPr>
          </w:p>
          <w:p>
            <w:pPr>
              <w:rPr>
                <w:rFonts w:hint="eastAsia" w:ascii="宋体" w:hAnsi="宋体" w:eastAsia="宋体" w:cs="宋体"/>
                <w:color w:val="auto"/>
                <w:highlight w:val="none"/>
              </w:rPr>
            </w:pPr>
          </w:p>
          <w:p>
            <w:pPr>
              <w:rPr>
                <w:rFonts w:hint="eastAsia" w:ascii="宋体" w:hAnsi="宋体" w:eastAsia="宋体" w:cs="宋体"/>
                <w:color w:val="auto"/>
                <w:highlight w:val="none"/>
              </w:rPr>
            </w:pPr>
          </w:p>
          <w:p>
            <w:pPr>
              <w:rPr>
                <w:rFonts w:hint="eastAsia" w:ascii="宋体" w:hAnsi="宋体" w:eastAsia="宋体" w:cs="宋体"/>
                <w:color w:val="auto"/>
                <w:highlight w:val="none"/>
              </w:rPr>
            </w:pPr>
          </w:p>
          <w:p>
            <w:pPr>
              <w:rPr>
                <w:rFonts w:hint="eastAsia" w:ascii="宋体" w:hAnsi="宋体" w:eastAsia="宋体" w:cs="宋体"/>
                <w:color w:val="auto"/>
                <w:highlight w:val="none"/>
              </w:rPr>
            </w:pPr>
            <w:r>
              <w:rPr>
                <w:rFonts w:hint="eastAsia" w:ascii="宋体" w:hAnsi="宋体" w:eastAsia="宋体" w:cs="宋体"/>
                <w:color w:val="auto"/>
                <w:highlight w:val="none"/>
              </w:rPr>
              <w:t xml:space="preserve">                                              公章</w:t>
            </w:r>
          </w:p>
          <w:p>
            <w:pPr>
              <w:rPr>
                <w:rFonts w:hint="eastAsia" w:ascii="宋体" w:hAnsi="宋体" w:eastAsia="宋体" w:cs="宋体"/>
                <w:color w:val="auto"/>
                <w:highlight w:val="none"/>
              </w:rPr>
            </w:pPr>
          </w:p>
          <w:p>
            <w:pPr>
              <w:rPr>
                <w:rFonts w:hint="eastAsia" w:ascii="宋体" w:hAnsi="宋体" w:eastAsia="宋体" w:cs="宋体"/>
                <w:color w:val="auto"/>
                <w:highlight w:val="none"/>
              </w:rPr>
            </w:pPr>
          </w:p>
          <w:p>
            <w:pPr>
              <w:rPr>
                <w:rFonts w:hint="eastAsia" w:ascii="宋体" w:hAnsi="宋体" w:eastAsia="宋体" w:cs="宋体"/>
                <w:color w:val="auto"/>
                <w:highlight w:val="none"/>
              </w:rPr>
            </w:pPr>
          </w:p>
          <w:p>
            <w:pPr>
              <w:rPr>
                <w:rFonts w:hint="eastAsia" w:ascii="宋体" w:hAnsi="宋体" w:eastAsia="宋体" w:cs="宋体"/>
                <w:color w:val="auto"/>
                <w:highlight w:val="none"/>
              </w:rPr>
            </w:pPr>
            <w:r>
              <w:rPr>
                <w:rFonts w:hint="eastAsia" w:ascii="宋体" w:hAnsi="宋体" w:eastAsia="宋体" w:cs="宋体"/>
                <w:color w:val="auto"/>
                <w:highlight w:val="none"/>
              </w:rPr>
              <w:t>经办人                                       年     月     日</w:t>
            </w:r>
          </w:p>
        </w:tc>
      </w:tr>
      <w:tr>
        <w:tblPrEx>
          <w:tblBorders>
            <w:top w:val="single" w:color="auto" w:sz="4" w:space="0"/>
            <w:left w:val="single" w:color="auto" w:sz="4" w:space="0"/>
            <w:bottom w:val="single" w:color="auto" w:sz="4" w:space="0"/>
            <w:right w:val="single" w:color="auto" w:sz="4" w:space="0"/>
            <w:insideH w:val="single" w:color="auto" w:sz="4" w:space="0"/>
            <w:insideV w:val="none" w:color="auto" w:sz="0" w:space="0"/>
          </w:tblBorders>
          <w:tblCellMar>
            <w:top w:w="0" w:type="dxa"/>
            <w:left w:w="108" w:type="dxa"/>
            <w:bottom w:w="0" w:type="dxa"/>
            <w:right w:w="108" w:type="dxa"/>
          </w:tblCellMar>
        </w:tblPrEx>
        <w:trPr>
          <w:trHeight w:val="6255" w:hRule="atLeast"/>
        </w:trPr>
        <w:tc>
          <w:tcPr>
            <w:tcW w:w="8522" w:type="dxa"/>
          </w:tcPr>
          <w:p>
            <w:pPr>
              <w:rPr>
                <w:rFonts w:hint="eastAsia" w:ascii="宋体" w:hAnsi="宋体" w:eastAsia="宋体" w:cs="宋体"/>
                <w:color w:val="auto"/>
                <w:highlight w:val="none"/>
              </w:rPr>
            </w:pPr>
          </w:p>
          <w:p>
            <w:pPr>
              <w:rPr>
                <w:rFonts w:hint="eastAsia" w:ascii="宋体" w:hAnsi="宋体" w:eastAsia="宋体" w:cs="宋体"/>
                <w:color w:val="auto"/>
                <w:highlight w:val="none"/>
              </w:rPr>
            </w:pPr>
            <w:r>
              <w:rPr>
                <w:rFonts w:hint="eastAsia" w:ascii="宋体" w:hAnsi="宋体" w:eastAsia="宋体" w:cs="宋体"/>
                <w:color w:val="auto"/>
                <w:highlight w:val="none"/>
              </w:rPr>
              <w:t>审批意见</w:t>
            </w:r>
          </w:p>
          <w:p>
            <w:pPr>
              <w:rPr>
                <w:rFonts w:hint="eastAsia" w:ascii="宋体" w:hAnsi="宋体" w:eastAsia="宋体" w:cs="宋体"/>
                <w:color w:val="auto"/>
                <w:highlight w:val="none"/>
              </w:rPr>
            </w:pPr>
          </w:p>
          <w:p>
            <w:pPr>
              <w:rPr>
                <w:rFonts w:hint="eastAsia" w:ascii="宋体" w:hAnsi="宋体" w:eastAsia="宋体" w:cs="宋体"/>
                <w:color w:val="auto"/>
                <w:highlight w:val="none"/>
              </w:rPr>
            </w:pPr>
          </w:p>
          <w:p>
            <w:pPr>
              <w:rPr>
                <w:rFonts w:hint="eastAsia" w:ascii="宋体" w:hAnsi="宋体" w:eastAsia="宋体" w:cs="宋体"/>
                <w:color w:val="auto"/>
                <w:highlight w:val="none"/>
              </w:rPr>
            </w:pPr>
          </w:p>
          <w:p>
            <w:pPr>
              <w:rPr>
                <w:rFonts w:hint="eastAsia" w:ascii="宋体" w:hAnsi="宋体" w:eastAsia="宋体" w:cs="宋体"/>
                <w:color w:val="auto"/>
                <w:highlight w:val="none"/>
              </w:rPr>
            </w:pPr>
          </w:p>
          <w:p>
            <w:pPr>
              <w:rPr>
                <w:rFonts w:hint="eastAsia" w:ascii="宋体" w:hAnsi="宋体" w:eastAsia="宋体" w:cs="宋体"/>
                <w:color w:val="auto"/>
                <w:highlight w:val="none"/>
              </w:rPr>
            </w:pPr>
          </w:p>
          <w:p>
            <w:pPr>
              <w:rPr>
                <w:rFonts w:hint="eastAsia" w:ascii="宋体" w:hAnsi="宋体" w:eastAsia="宋体" w:cs="宋体"/>
                <w:color w:val="auto"/>
                <w:highlight w:val="none"/>
              </w:rPr>
            </w:pPr>
          </w:p>
          <w:p>
            <w:pPr>
              <w:rPr>
                <w:rFonts w:hint="eastAsia" w:ascii="宋体" w:hAnsi="宋体" w:eastAsia="宋体" w:cs="宋体"/>
                <w:color w:val="auto"/>
                <w:highlight w:val="none"/>
              </w:rPr>
            </w:pPr>
          </w:p>
          <w:p>
            <w:pPr>
              <w:rPr>
                <w:rFonts w:hint="eastAsia" w:ascii="宋体" w:hAnsi="宋体" w:eastAsia="宋体" w:cs="宋体"/>
                <w:color w:val="auto"/>
                <w:highlight w:val="none"/>
              </w:rPr>
            </w:pPr>
          </w:p>
          <w:p>
            <w:pPr>
              <w:rPr>
                <w:rFonts w:hint="eastAsia" w:ascii="宋体" w:hAnsi="宋体" w:eastAsia="宋体" w:cs="宋体"/>
                <w:color w:val="auto"/>
                <w:highlight w:val="none"/>
              </w:rPr>
            </w:pPr>
          </w:p>
          <w:p>
            <w:pPr>
              <w:rPr>
                <w:rFonts w:hint="eastAsia" w:ascii="宋体" w:hAnsi="宋体" w:eastAsia="宋体" w:cs="宋体"/>
                <w:color w:val="auto"/>
                <w:highlight w:val="none"/>
              </w:rPr>
            </w:pPr>
          </w:p>
          <w:p>
            <w:pPr>
              <w:rPr>
                <w:rFonts w:hint="eastAsia" w:ascii="宋体" w:hAnsi="宋体" w:eastAsia="宋体" w:cs="宋体"/>
                <w:color w:val="auto"/>
                <w:highlight w:val="none"/>
              </w:rPr>
            </w:pPr>
            <w:r>
              <w:rPr>
                <w:rFonts w:hint="eastAsia" w:ascii="宋体" w:hAnsi="宋体" w:eastAsia="宋体" w:cs="宋体"/>
                <w:color w:val="auto"/>
                <w:highlight w:val="none"/>
              </w:rPr>
              <w:t xml:space="preserve">                                              公章</w:t>
            </w:r>
          </w:p>
          <w:p>
            <w:pPr>
              <w:rPr>
                <w:rFonts w:hint="eastAsia" w:ascii="宋体" w:hAnsi="宋体" w:eastAsia="宋体" w:cs="宋体"/>
                <w:color w:val="auto"/>
                <w:highlight w:val="none"/>
              </w:rPr>
            </w:pPr>
          </w:p>
          <w:p>
            <w:pPr>
              <w:rPr>
                <w:rFonts w:hint="eastAsia" w:ascii="宋体" w:hAnsi="宋体" w:eastAsia="宋体" w:cs="宋体"/>
                <w:color w:val="auto"/>
                <w:highlight w:val="none"/>
              </w:rPr>
            </w:pPr>
          </w:p>
          <w:p>
            <w:pPr>
              <w:rPr>
                <w:rFonts w:hint="eastAsia" w:ascii="宋体" w:hAnsi="宋体" w:eastAsia="宋体" w:cs="宋体"/>
                <w:color w:val="auto"/>
                <w:highlight w:val="none"/>
              </w:rPr>
            </w:pPr>
          </w:p>
          <w:p>
            <w:pPr>
              <w:rPr>
                <w:rFonts w:hint="eastAsia" w:ascii="宋体" w:hAnsi="宋体" w:eastAsia="宋体" w:cs="宋体"/>
                <w:color w:val="auto"/>
                <w:highlight w:val="none"/>
              </w:rPr>
            </w:pPr>
            <w:r>
              <w:rPr>
                <w:rFonts w:hint="eastAsia" w:ascii="宋体" w:hAnsi="宋体" w:eastAsia="宋体" w:cs="宋体"/>
                <w:color w:val="auto"/>
                <w:highlight w:val="none"/>
              </w:rPr>
              <w:t>经办人                                       年     月     日</w:t>
            </w:r>
          </w:p>
        </w:tc>
      </w:tr>
    </w:tbl>
    <w:p>
      <w:pPr>
        <w:ind w:firstLine="420"/>
        <w:rPr>
          <w:rFonts w:hint="eastAsia" w:ascii="宋体" w:hAnsi="宋体" w:eastAsia="宋体" w:cs="宋体"/>
          <w:color w:val="0000FF"/>
          <w:highlight w:val="none"/>
        </w:rPr>
      </w:pPr>
    </w:p>
    <w:p>
      <w:pPr>
        <w:widowControl/>
        <w:jc w:val="left"/>
        <w:rPr>
          <w:rFonts w:hint="eastAsia" w:ascii="宋体" w:hAnsi="宋体" w:eastAsia="宋体" w:cs="宋体"/>
          <w:color w:val="0000FF"/>
          <w:szCs w:val="21"/>
          <w:highlight w:val="none"/>
        </w:rPr>
      </w:pPr>
      <w:r>
        <w:rPr>
          <w:rFonts w:hint="eastAsia" w:ascii="宋体" w:hAnsi="宋体" w:eastAsia="宋体" w:cs="宋体"/>
          <w:color w:val="0000FF"/>
          <w:szCs w:val="21"/>
          <w:highlight w:val="none"/>
        </w:rPr>
        <w:br w:type="page"/>
      </w:r>
    </w:p>
    <w:p>
      <w:pPr>
        <w:pStyle w:val="2"/>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宋体" w:hAnsi="宋体" w:eastAsia="宋体" w:cs="宋体"/>
          <w:b/>
          <w:color w:val="auto"/>
          <w:sz w:val="28"/>
          <w:szCs w:val="28"/>
          <w:highlight w:val="none"/>
          <w:lang w:val="en-US" w:eastAsia="zh-CN"/>
        </w:rPr>
      </w:pPr>
      <w:bookmarkStart w:id="17" w:name="_Toc28263"/>
      <w:bookmarkStart w:id="18" w:name="_Toc6764"/>
      <w:bookmarkStart w:id="19" w:name="_Toc25301"/>
      <w:bookmarkStart w:id="20" w:name="_Toc2942"/>
      <w:bookmarkStart w:id="21" w:name="_Toc513621094"/>
      <w:r>
        <w:rPr>
          <w:rFonts w:hint="eastAsia" w:ascii="宋体" w:hAnsi="宋体" w:eastAsia="宋体" w:cs="宋体"/>
          <w:b/>
          <w:color w:val="auto"/>
          <w:sz w:val="28"/>
          <w:szCs w:val="28"/>
          <w:highlight w:val="none"/>
        </w:rPr>
        <w:t>附件</w:t>
      </w:r>
      <w:r>
        <w:rPr>
          <w:rFonts w:hint="eastAsia" w:ascii="宋体" w:hAnsi="宋体" w:eastAsia="宋体" w:cs="宋体"/>
          <w:b/>
          <w:color w:val="auto"/>
          <w:sz w:val="28"/>
          <w:szCs w:val="28"/>
          <w:highlight w:val="none"/>
          <w:lang w:val="en-US" w:eastAsia="zh-CN"/>
        </w:rPr>
        <w:t>1</w:t>
      </w:r>
      <w:r>
        <w:rPr>
          <w:rFonts w:hint="eastAsia" w:ascii="宋体" w:hAnsi="宋体" w:eastAsia="宋体" w:cs="宋体"/>
          <w:b/>
          <w:color w:val="auto"/>
          <w:sz w:val="28"/>
          <w:szCs w:val="28"/>
          <w:highlight w:val="none"/>
        </w:rPr>
        <w:t xml:space="preserve"> </w:t>
      </w:r>
      <w:r>
        <w:rPr>
          <w:rFonts w:hint="eastAsia" w:ascii="宋体" w:hAnsi="宋体" w:eastAsia="宋体" w:cs="宋体"/>
          <w:b/>
          <w:color w:val="auto"/>
          <w:sz w:val="28"/>
          <w:szCs w:val="28"/>
          <w:highlight w:val="none"/>
          <w:lang w:val="en-US" w:eastAsia="zh-CN"/>
        </w:rPr>
        <w:t>辐射安全许可证</w:t>
      </w:r>
      <w:bookmarkEnd w:id="17"/>
      <w:bookmarkEnd w:id="18"/>
    </w:p>
    <w:bookmarkEnd w:id="19"/>
    <w:bookmarkEnd w:id="20"/>
    <w:p>
      <w:pPr>
        <w:jc w:val="left"/>
        <w:outlineLvl w:val="0"/>
        <w:rPr>
          <w:rFonts w:hint="eastAsia" w:ascii="宋体" w:hAnsi="宋体" w:eastAsia="宋体" w:cs="宋体"/>
          <w:b/>
          <w:color w:val="auto"/>
          <w:sz w:val="24"/>
          <w:highlight w:val="none"/>
        </w:rPr>
      </w:pPr>
      <w:r>
        <w:rPr>
          <w:rFonts w:hint="eastAsia" w:ascii="宋体" w:hAnsi="宋体" w:eastAsia="宋体" w:cs="宋体"/>
          <w:color w:val="auto"/>
        </w:rPr>
        <w:drawing>
          <wp:inline distT="0" distB="0" distL="114300" distR="114300">
            <wp:extent cx="5537835" cy="7555865"/>
            <wp:effectExtent l="0" t="0" r="5715" b="6985"/>
            <wp:docPr id="16"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4"/>
                    <pic:cNvPicPr>
                      <a:picLocks noChangeAspect="1"/>
                    </pic:cNvPicPr>
                  </pic:nvPicPr>
                  <pic:blipFill>
                    <a:blip r:embed="rId88"/>
                    <a:stretch>
                      <a:fillRect/>
                    </a:stretch>
                  </pic:blipFill>
                  <pic:spPr>
                    <a:xfrm>
                      <a:off x="0" y="0"/>
                      <a:ext cx="5537835" cy="7555865"/>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5535930" cy="3972560"/>
            <wp:effectExtent l="0" t="0" r="7620" b="8890"/>
            <wp:docPr id="18"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5"/>
                    <pic:cNvPicPr>
                      <a:picLocks noChangeAspect="1"/>
                    </pic:cNvPicPr>
                  </pic:nvPicPr>
                  <pic:blipFill>
                    <a:blip r:embed="rId89"/>
                    <a:stretch>
                      <a:fillRect/>
                    </a:stretch>
                  </pic:blipFill>
                  <pic:spPr>
                    <a:xfrm>
                      <a:off x="0" y="0"/>
                      <a:ext cx="5535930" cy="3972560"/>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5540375" cy="4091305"/>
            <wp:effectExtent l="0" t="0" r="3175" b="4445"/>
            <wp:docPr id="19"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66"/>
                    <pic:cNvPicPr>
                      <a:picLocks noChangeAspect="1"/>
                    </pic:cNvPicPr>
                  </pic:nvPicPr>
                  <pic:blipFill>
                    <a:blip r:embed="rId90"/>
                    <a:stretch>
                      <a:fillRect/>
                    </a:stretch>
                  </pic:blipFill>
                  <pic:spPr>
                    <a:xfrm>
                      <a:off x="0" y="0"/>
                      <a:ext cx="5540375" cy="4091305"/>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5543550" cy="3994785"/>
            <wp:effectExtent l="0" t="0" r="0" b="5715"/>
            <wp:docPr id="20"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67"/>
                    <pic:cNvPicPr>
                      <a:picLocks noChangeAspect="1"/>
                    </pic:cNvPicPr>
                  </pic:nvPicPr>
                  <pic:blipFill>
                    <a:blip r:embed="rId91"/>
                    <a:stretch>
                      <a:fillRect/>
                    </a:stretch>
                  </pic:blipFill>
                  <pic:spPr>
                    <a:xfrm>
                      <a:off x="0" y="0"/>
                      <a:ext cx="5543550" cy="3994785"/>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5535930" cy="4015740"/>
            <wp:effectExtent l="0" t="0" r="7620" b="3810"/>
            <wp:docPr id="22"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68"/>
                    <pic:cNvPicPr>
                      <a:picLocks noChangeAspect="1"/>
                    </pic:cNvPicPr>
                  </pic:nvPicPr>
                  <pic:blipFill>
                    <a:blip r:embed="rId92"/>
                    <a:stretch>
                      <a:fillRect/>
                    </a:stretch>
                  </pic:blipFill>
                  <pic:spPr>
                    <a:xfrm>
                      <a:off x="0" y="0"/>
                      <a:ext cx="5535930" cy="4015740"/>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5534660" cy="3888105"/>
            <wp:effectExtent l="0" t="0" r="8890" b="17145"/>
            <wp:docPr id="28"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69"/>
                    <pic:cNvPicPr>
                      <a:picLocks noChangeAspect="1"/>
                    </pic:cNvPicPr>
                  </pic:nvPicPr>
                  <pic:blipFill>
                    <a:blip r:embed="rId93"/>
                    <a:stretch>
                      <a:fillRect/>
                    </a:stretch>
                  </pic:blipFill>
                  <pic:spPr>
                    <a:xfrm>
                      <a:off x="0" y="0"/>
                      <a:ext cx="5534660" cy="3888105"/>
                    </a:xfrm>
                    <a:prstGeom prst="rect">
                      <a:avLst/>
                    </a:prstGeom>
                    <a:noFill/>
                    <a:ln>
                      <a:noFill/>
                    </a:ln>
                  </pic:spPr>
                </pic:pic>
              </a:graphicData>
            </a:graphic>
          </wp:inline>
        </w:drawing>
      </w:r>
    </w:p>
    <w:p>
      <w:pPr>
        <w:rPr>
          <w:rFonts w:hint="eastAsia" w:ascii="宋体" w:hAnsi="宋体" w:eastAsia="宋体" w:cs="宋体"/>
          <w:b/>
          <w:color w:val="auto"/>
          <w:sz w:val="28"/>
          <w:szCs w:val="28"/>
          <w:highlight w:val="none"/>
        </w:rPr>
      </w:pPr>
      <w:bookmarkStart w:id="22" w:name="_Toc68939063"/>
      <w:bookmarkStart w:id="23" w:name="_Toc8114302"/>
      <w:bookmarkStart w:id="24" w:name="_Toc13018"/>
      <w:r>
        <w:rPr>
          <w:rFonts w:hint="eastAsia" w:ascii="宋体" w:hAnsi="宋体" w:eastAsia="宋体" w:cs="宋体"/>
          <w:b/>
          <w:color w:val="auto"/>
          <w:sz w:val="28"/>
          <w:szCs w:val="28"/>
          <w:highlight w:val="none"/>
        </w:rPr>
        <w:br w:type="page"/>
      </w:r>
    </w:p>
    <w:p>
      <w:pPr>
        <w:pStyle w:val="2"/>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宋体" w:hAnsi="宋体" w:eastAsia="宋体" w:cs="宋体"/>
          <w:b/>
          <w:color w:val="auto"/>
          <w:sz w:val="28"/>
          <w:szCs w:val="28"/>
          <w:highlight w:val="none"/>
          <w:lang w:val="en-US" w:eastAsia="zh-CN"/>
        </w:rPr>
      </w:pPr>
      <w:r>
        <w:rPr>
          <w:rFonts w:hint="eastAsia" w:ascii="宋体" w:hAnsi="宋体" w:eastAsia="宋体" w:cs="宋体"/>
          <w:b/>
          <w:color w:val="auto"/>
          <w:sz w:val="28"/>
          <w:szCs w:val="28"/>
          <w:highlight w:val="none"/>
        </w:rPr>
        <w:t xml:space="preserve">附件2 </w:t>
      </w:r>
      <w:r>
        <w:rPr>
          <w:rFonts w:hint="eastAsia" w:ascii="宋体" w:hAnsi="宋体" w:eastAsia="宋体" w:cs="宋体"/>
          <w:b/>
          <w:color w:val="auto"/>
          <w:sz w:val="28"/>
          <w:szCs w:val="28"/>
          <w:highlight w:val="none"/>
          <w:lang w:val="en-US" w:eastAsia="zh-CN"/>
        </w:rPr>
        <w:t>现状</w:t>
      </w:r>
      <w:bookmarkEnd w:id="22"/>
      <w:bookmarkEnd w:id="23"/>
      <w:r>
        <w:rPr>
          <w:rFonts w:hint="eastAsia" w:ascii="宋体" w:hAnsi="宋体" w:eastAsia="宋体" w:cs="宋体"/>
          <w:b/>
          <w:color w:val="auto"/>
          <w:sz w:val="28"/>
          <w:szCs w:val="28"/>
          <w:highlight w:val="none"/>
          <w:lang w:val="en-US" w:eastAsia="zh-CN"/>
        </w:rPr>
        <w:t>监测报告</w:t>
      </w:r>
      <w:bookmarkEnd w:id="24"/>
    </w:p>
    <w:bookmarkEnd w:id="21"/>
    <w:p>
      <w:pPr>
        <w:rPr>
          <w:rFonts w:hint="eastAsia" w:ascii="宋体" w:hAnsi="宋体" w:eastAsia="宋体" w:cs="宋体"/>
          <w:color w:val="auto"/>
          <w:highlight w:val="none"/>
          <w:lang w:eastAsia="zh-CN"/>
        </w:rPr>
      </w:pPr>
      <w:r>
        <w:rPr>
          <w:rFonts w:hint="eastAsia" w:ascii="宋体" w:hAnsi="宋体" w:eastAsia="宋体" w:cs="宋体"/>
        </w:rPr>
        <w:drawing>
          <wp:inline distT="0" distB="0" distL="114300" distR="114300">
            <wp:extent cx="5303520" cy="7646670"/>
            <wp:effectExtent l="0" t="0" r="0" b="3810"/>
            <wp:docPr id="1"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8"/>
                    <pic:cNvPicPr>
                      <a:picLocks noChangeAspect="1"/>
                    </pic:cNvPicPr>
                  </pic:nvPicPr>
                  <pic:blipFill>
                    <a:blip r:embed="rId94"/>
                    <a:stretch>
                      <a:fillRect/>
                    </a:stretch>
                  </pic:blipFill>
                  <pic:spPr>
                    <a:xfrm>
                      <a:off x="0" y="0"/>
                      <a:ext cx="5303520" cy="7646670"/>
                    </a:xfrm>
                    <a:prstGeom prst="rect">
                      <a:avLst/>
                    </a:prstGeom>
                    <a:noFill/>
                    <a:ln>
                      <a:noFill/>
                    </a:ln>
                  </pic:spPr>
                </pic:pic>
              </a:graphicData>
            </a:graphic>
          </wp:inline>
        </w:drawing>
      </w:r>
      <w:r>
        <w:rPr>
          <w:rFonts w:hint="eastAsia" w:ascii="宋体" w:hAnsi="宋体" w:eastAsia="宋体" w:cs="宋体"/>
        </w:rPr>
        <w:drawing>
          <wp:inline distT="0" distB="0" distL="114300" distR="114300">
            <wp:extent cx="5371465" cy="7355205"/>
            <wp:effectExtent l="0" t="0" r="8255" b="5715"/>
            <wp:docPr id="4"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9"/>
                    <pic:cNvPicPr>
                      <a:picLocks noChangeAspect="1"/>
                    </pic:cNvPicPr>
                  </pic:nvPicPr>
                  <pic:blipFill>
                    <a:blip r:embed="rId95"/>
                    <a:stretch>
                      <a:fillRect/>
                    </a:stretch>
                  </pic:blipFill>
                  <pic:spPr>
                    <a:xfrm>
                      <a:off x="0" y="0"/>
                      <a:ext cx="5371465" cy="7355205"/>
                    </a:xfrm>
                    <a:prstGeom prst="rect">
                      <a:avLst/>
                    </a:prstGeom>
                    <a:noFill/>
                    <a:ln>
                      <a:noFill/>
                    </a:ln>
                  </pic:spPr>
                </pic:pic>
              </a:graphicData>
            </a:graphic>
          </wp:inline>
        </w:drawing>
      </w:r>
      <w:r>
        <w:rPr>
          <w:rFonts w:hint="eastAsia" w:ascii="宋体" w:hAnsi="宋体" w:eastAsia="宋体" w:cs="宋体"/>
        </w:rPr>
        <w:drawing>
          <wp:inline distT="0" distB="0" distL="114300" distR="114300">
            <wp:extent cx="5455285" cy="7718425"/>
            <wp:effectExtent l="0" t="0" r="635" b="8255"/>
            <wp:docPr id="7"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0"/>
                    <pic:cNvPicPr>
                      <a:picLocks noChangeAspect="1"/>
                    </pic:cNvPicPr>
                  </pic:nvPicPr>
                  <pic:blipFill>
                    <a:blip r:embed="rId96"/>
                    <a:stretch>
                      <a:fillRect/>
                    </a:stretch>
                  </pic:blipFill>
                  <pic:spPr>
                    <a:xfrm>
                      <a:off x="0" y="0"/>
                      <a:ext cx="5455285" cy="7718425"/>
                    </a:xfrm>
                    <a:prstGeom prst="rect">
                      <a:avLst/>
                    </a:prstGeom>
                    <a:noFill/>
                    <a:ln>
                      <a:noFill/>
                    </a:ln>
                  </pic:spPr>
                </pic:pic>
              </a:graphicData>
            </a:graphic>
          </wp:inline>
        </w:drawing>
      </w:r>
      <w:r>
        <w:rPr>
          <w:rFonts w:hint="eastAsia" w:ascii="宋体" w:hAnsi="宋体" w:eastAsia="宋体" w:cs="宋体"/>
        </w:rPr>
        <w:drawing>
          <wp:inline distT="0" distB="0" distL="114300" distR="114300">
            <wp:extent cx="5356860" cy="7684770"/>
            <wp:effectExtent l="0" t="0" r="7620" b="11430"/>
            <wp:docPr id="9"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1"/>
                    <pic:cNvPicPr>
                      <a:picLocks noChangeAspect="1"/>
                    </pic:cNvPicPr>
                  </pic:nvPicPr>
                  <pic:blipFill>
                    <a:blip r:embed="rId97"/>
                    <a:stretch>
                      <a:fillRect/>
                    </a:stretch>
                  </pic:blipFill>
                  <pic:spPr>
                    <a:xfrm>
                      <a:off x="0" y="0"/>
                      <a:ext cx="5356860" cy="7684770"/>
                    </a:xfrm>
                    <a:prstGeom prst="rect">
                      <a:avLst/>
                    </a:prstGeom>
                    <a:noFill/>
                    <a:ln>
                      <a:noFill/>
                    </a:ln>
                  </pic:spPr>
                </pic:pic>
              </a:graphicData>
            </a:graphic>
          </wp:inline>
        </w:drawing>
      </w:r>
      <w:r>
        <w:rPr>
          <w:rFonts w:hint="eastAsia" w:ascii="宋体" w:hAnsi="宋体" w:eastAsia="宋体" w:cs="宋体"/>
        </w:rPr>
        <w:drawing>
          <wp:inline distT="0" distB="0" distL="114300" distR="114300">
            <wp:extent cx="5257800" cy="7312660"/>
            <wp:effectExtent l="0" t="0" r="0" b="2540"/>
            <wp:docPr id="10"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2"/>
                    <pic:cNvPicPr>
                      <a:picLocks noChangeAspect="1"/>
                    </pic:cNvPicPr>
                  </pic:nvPicPr>
                  <pic:blipFill>
                    <a:blip r:embed="rId98"/>
                    <a:stretch>
                      <a:fillRect/>
                    </a:stretch>
                  </pic:blipFill>
                  <pic:spPr>
                    <a:xfrm>
                      <a:off x="0" y="0"/>
                      <a:ext cx="5257800" cy="7312660"/>
                    </a:xfrm>
                    <a:prstGeom prst="rect">
                      <a:avLst/>
                    </a:prstGeom>
                    <a:noFill/>
                    <a:ln>
                      <a:noFill/>
                    </a:ln>
                  </pic:spPr>
                </pic:pic>
              </a:graphicData>
            </a:graphic>
          </wp:inline>
        </w:drawing>
      </w:r>
      <w:r>
        <w:rPr>
          <w:rFonts w:hint="eastAsia" w:ascii="宋体" w:hAnsi="宋体" w:eastAsia="宋体" w:cs="宋体"/>
        </w:rPr>
        <w:drawing>
          <wp:inline distT="0" distB="0" distL="114300" distR="114300">
            <wp:extent cx="5379720" cy="7666990"/>
            <wp:effectExtent l="0" t="0" r="0" b="13970"/>
            <wp:docPr id="17"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3"/>
                    <pic:cNvPicPr>
                      <a:picLocks noChangeAspect="1"/>
                    </pic:cNvPicPr>
                  </pic:nvPicPr>
                  <pic:blipFill>
                    <a:blip r:embed="rId99"/>
                    <a:stretch>
                      <a:fillRect/>
                    </a:stretch>
                  </pic:blipFill>
                  <pic:spPr>
                    <a:xfrm>
                      <a:off x="0" y="0"/>
                      <a:ext cx="5379720" cy="7666990"/>
                    </a:xfrm>
                    <a:prstGeom prst="rect">
                      <a:avLst/>
                    </a:prstGeom>
                    <a:noFill/>
                    <a:ln>
                      <a:noFill/>
                    </a:ln>
                  </pic:spPr>
                </pic:pic>
              </a:graphicData>
            </a:graphic>
          </wp:inline>
        </w:drawing>
      </w:r>
    </w:p>
    <w:p>
      <w:pPr>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br w:type="page"/>
      </w:r>
    </w:p>
    <w:p>
      <w:pPr>
        <w:pStyle w:val="2"/>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宋体" w:hAnsi="宋体" w:eastAsia="宋体" w:cs="宋体"/>
          <w:b/>
          <w:color w:val="auto"/>
          <w:sz w:val="28"/>
          <w:szCs w:val="28"/>
          <w:highlight w:val="none"/>
          <w:lang w:val="en-US" w:eastAsia="zh-CN"/>
        </w:rPr>
      </w:pPr>
      <w:bookmarkStart w:id="25" w:name="_Toc13966"/>
      <w:r>
        <w:rPr>
          <w:rFonts w:hint="eastAsia" w:ascii="宋体" w:hAnsi="宋体" w:eastAsia="宋体" w:cs="宋体"/>
          <w:b/>
          <w:color w:val="auto"/>
          <w:sz w:val="28"/>
          <w:szCs w:val="28"/>
          <w:highlight w:val="none"/>
        </w:rPr>
        <w:t>附件</w:t>
      </w:r>
      <w:r>
        <w:rPr>
          <w:rFonts w:hint="eastAsia" w:ascii="宋体" w:hAnsi="宋体" w:eastAsia="宋体" w:cs="宋体"/>
          <w:b/>
          <w:color w:val="auto"/>
          <w:sz w:val="28"/>
          <w:szCs w:val="28"/>
          <w:highlight w:val="none"/>
          <w:lang w:val="en-US" w:eastAsia="zh-CN"/>
        </w:rPr>
        <w:t>3</w:t>
      </w:r>
      <w:r>
        <w:rPr>
          <w:rFonts w:hint="eastAsia" w:ascii="宋体" w:hAnsi="宋体" w:eastAsia="宋体" w:cs="宋体"/>
          <w:b/>
          <w:color w:val="auto"/>
          <w:sz w:val="28"/>
          <w:szCs w:val="28"/>
          <w:highlight w:val="none"/>
        </w:rPr>
        <w:t xml:space="preserve"> </w:t>
      </w:r>
      <w:r>
        <w:rPr>
          <w:rFonts w:hint="eastAsia" w:ascii="宋体" w:hAnsi="宋体" w:eastAsia="宋体" w:cs="宋体"/>
          <w:b/>
          <w:color w:val="auto"/>
          <w:sz w:val="28"/>
          <w:szCs w:val="28"/>
          <w:highlight w:val="none"/>
          <w:lang w:val="en-US" w:eastAsia="zh-CN"/>
        </w:rPr>
        <w:t>原有环保手续</w:t>
      </w:r>
      <w:bookmarkEnd w:id="25"/>
    </w:p>
    <w:p>
      <w:pPr>
        <w:bidi w:val="0"/>
        <w:rPr>
          <w:rFonts w:hint="eastAsia"/>
          <w:lang w:val="en-US" w:eastAsia="zh-CN"/>
        </w:rPr>
      </w:pPr>
      <w:r>
        <w:rPr>
          <w:rFonts w:hint="eastAsia"/>
        </w:rPr>
        <w:drawing>
          <wp:inline distT="0" distB="0" distL="114300" distR="114300">
            <wp:extent cx="5400040" cy="7799705"/>
            <wp:effectExtent l="0" t="0" r="10160" b="10795"/>
            <wp:docPr id="62"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79"/>
                    <pic:cNvPicPr>
                      <a:picLocks noChangeAspect="1"/>
                    </pic:cNvPicPr>
                  </pic:nvPicPr>
                  <pic:blipFill>
                    <a:blip r:embed="rId100"/>
                    <a:stretch>
                      <a:fillRect/>
                    </a:stretch>
                  </pic:blipFill>
                  <pic:spPr>
                    <a:xfrm>
                      <a:off x="0" y="0"/>
                      <a:ext cx="5400040" cy="7799705"/>
                    </a:xfrm>
                    <a:prstGeom prst="rect">
                      <a:avLst/>
                    </a:prstGeom>
                    <a:noFill/>
                    <a:ln>
                      <a:noFill/>
                    </a:ln>
                  </pic:spPr>
                </pic:pic>
              </a:graphicData>
            </a:graphic>
          </wp:inline>
        </w:drawing>
      </w:r>
    </w:p>
    <w:p>
      <w:pPr>
        <w:bidi w:val="0"/>
        <w:rPr>
          <w:rFonts w:hint="eastAsia"/>
        </w:rPr>
      </w:pPr>
      <w:r>
        <w:rPr>
          <w:rFonts w:hint="eastAsia"/>
        </w:rPr>
        <w:drawing>
          <wp:inline distT="0" distB="0" distL="114300" distR="114300">
            <wp:extent cx="5415280" cy="8038465"/>
            <wp:effectExtent l="0" t="0" r="13970" b="635"/>
            <wp:docPr id="63"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80"/>
                    <pic:cNvPicPr>
                      <a:picLocks noChangeAspect="1"/>
                    </pic:cNvPicPr>
                  </pic:nvPicPr>
                  <pic:blipFill>
                    <a:blip r:embed="rId101"/>
                    <a:stretch>
                      <a:fillRect/>
                    </a:stretch>
                  </pic:blipFill>
                  <pic:spPr>
                    <a:xfrm>
                      <a:off x="0" y="0"/>
                      <a:ext cx="5415280" cy="8038465"/>
                    </a:xfrm>
                    <a:prstGeom prst="rect">
                      <a:avLst/>
                    </a:prstGeom>
                    <a:noFill/>
                    <a:ln>
                      <a:noFill/>
                    </a:ln>
                  </pic:spPr>
                </pic:pic>
              </a:graphicData>
            </a:graphic>
          </wp:inline>
        </w:drawing>
      </w:r>
      <w:r>
        <w:rPr>
          <w:rFonts w:hint="eastAsia"/>
        </w:rPr>
        <w:drawing>
          <wp:inline distT="0" distB="0" distL="114300" distR="114300">
            <wp:extent cx="5539105" cy="7451090"/>
            <wp:effectExtent l="0" t="0" r="4445" b="16510"/>
            <wp:docPr id="66"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81"/>
                    <pic:cNvPicPr>
                      <a:picLocks noChangeAspect="1"/>
                    </pic:cNvPicPr>
                  </pic:nvPicPr>
                  <pic:blipFill>
                    <a:blip r:embed="rId102"/>
                    <a:stretch>
                      <a:fillRect/>
                    </a:stretch>
                  </pic:blipFill>
                  <pic:spPr>
                    <a:xfrm>
                      <a:off x="0" y="0"/>
                      <a:ext cx="5539105" cy="7451090"/>
                    </a:xfrm>
                    <a:prstGeom prst="rect">
                      <a:avLst/>
                    </a:prstGeom>
                    <a:noFill/>
                    <a:ln>
                      <a:noFill/>
                    </a:ln>
                  </pic:spPr>
                </pic:pic>
              </a:graphicData>
            </a:graphic>
          </wp:inline>
        </w:drawing>
      </w:r>
      <w:r>
        <w:rPr>
          <w:rFonts w:hint="eastAsia"/>
        </w:rPr>
        <w:drawing>
          <wp:inline distT="0" distB="0" distL="114300" distR="114300">
            <wp:extent cx="5541645" cy="7586980"/>
            <wp:effectExtent l="0" t="0" r="1905" b="13970"/>
            <wp:docPr id="70"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82"/>
                    <pic:cNvPicPr>
                      <a:picLocks noChangeAspect="1"/>
                    </pic:cNvPicPr>
                  </pic:nvPicPr>
                  <pic:blipFill>
                    <a:blip r:embed="rId103"/>
                    <a:stretch>
                      <a:fillRect/>
                    </a:stretch>
                  </pic:blipFill>
                  <pic:spPr>
                    <a:xfrm>
                      <a:off x="0" y="0"/>
                      <a:ext cx="5541645" cy="7586980"/>
                    </a:xfrm>
                    <a:prstGeom prst="rect">
                      <a:avLst/>
                    </a:prstGeom>
                    <a:noFill/>
                    <a:ln>
                      <a:noFill/>
                    </a:ln>
                  </pic:spPr>
                </pic:pic>
              </a:graphicData>
            </a:graphic>
          </wp:inline>
        </w:drawing>
      </w:r>
      <w:r>
        <w:rPr>
          <w:rFonts w:hint="eastAsia"/>
        </w:rPr>
        <w:drawing>
          <wp:inline distT="0" distB="0" distL="114300" distR="114300">
            <wp:extent cx="5541645" cy="7449820"/>
            <wp:effectExtent l="0" t="0" r="1905" b="17780"/>
            <wp:docPr id="71"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83"/>
                    <pic:cNvPicPr>
                      <a:picLocks noChangeAspect="1"/>
                    </pic:cNvPicPr>
                  </pic:nvPicPr>
                  <pic:blipFill>
                    <a:blip r:embed="rId104"/>
                    <a:stretch>
                      <a:fillRect/>
                    </a:stretch>
                  </pic:blipFill>
                  <pic:spPr>
                    <a:xfrm>
                      <a:off x="0" y="0"/>
                      <a:ext cx="5541645" cy="7449820"/>
                    </a:xfrm>
                    <a:prstGeom prst="rect">
                      <a:avLst/>
                    </a:prstGeom>
                    <a:noFill/>
                    <a:ln>
                      <a:noFill/>
                    </a:ln>
                  </pic:spPr>
                </pic:pic>
              </a:graphicData>
            </a:graphic>
          </wp:inline>
        </w:drawing>
      </w:r>
    </w:p>
    <w:p>
      <w:pPr>
        <w:widowControl w:val="0"/>
        <w:numPr>
          <w:ilvl w:val="0"/>
          <w:numId w:val="0"/>
        </w:numPr>
        <w:spacing w:line="240" w:lineRule="auto"/>
        <w:jc w:val="both"/>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color w:val="auto"/>
        </w:rPr>
        <w:br w:type="page"/>
      </w:r>
      <w:r>
        <w:rPr>
          <w:rFonts w:hint="eastAsia" w:ascii="宋体" w:hAnsi="宋体" w:eastAsia="宋体" w:cs="宋体"/>
          <w:b w:val="0"/>
          <w:bCs w:val="0"/>
          <w:color w:val="auto"/>
          <w:sz w:val="24"/>
          <w:szCs w:val="24"/>
          <w:highlight w:val="none"/>
          <w:lang w:val="en-US" w:eastAsia="zh-CN"/>
        </w:rPr>
        <w:drawing>
          <wp:inline distT="0" distB="0" distL="114300" distR="114300">
            <wp:extent cx="5179695" cy="7769860"/>
            <wp:effectExtent l="0" t="0" r="1905" b="2540"/>
            <wp:docPr id="36" name="图片 36" descr="b7ea332e4d77ed8661fa3424df469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b7ea332e4d77ed8661fa3424df469c5"/>
                    <pic:cNvPicPr>
                      <a:picLocks noChangeAspect="1"/>
                    </pic:cNvPicPr>
                  </pic:nvPicPr>
                  <pic:blipFill>
                    <a:blip r:embed="rId105"/>
                    <a:srcRect l="3053" t="289" r="8289"/>
                    <a:stretch>
                      <a:fillRect/>
                    </a:stretch>
                  </pic:blipFill>
                  <pic:spPr>
                    <a:xfrm>
                      <a:off x="0" y="0"/>
                      <a:ext cx="5179695" cy="7769860"/>
                    </a:xfrm>
                    <a:prstGeom prst="rect">
                      <a:avLst/>
                    </a:prstGeom>
                  </pic:spPr>
                </pic:pic>
              </a:graphicData>
            </a:graphic>
          </wp:inline>
        </w:drawing>
      </w:r>
    </w:p>
    <w:p>
      <w:pPr>
        <w:bidi w:val="0"/>
        <w:rPr>
          <w:rFonts w:hint="eastAsia" w:ascii="宋体" w:hAnsi="宋体" w:eastAsia="宋体" w:cs="宋体"/>
          <w:lang w:val="en-US" w:eastAsia="zh-CN"/>
        </w:rPr>
      </w:pPr>
      <w:r>
        <w:rPr>
          <w:rFonts w:hint="eastAsia" w:ascii="宋体" w:hAnsi="宋体" w:eastAsia="宋体" w:cs="宋体"/>
          <w:lang w:val="en-US" w:eastAsia="zh-CN"/>
        </w:rPr>
        <w:drawing>
          <wp:inline distT="0" distB="0" distL="114300" distR="114300">
            <wp:extent cx="7249160" cy="5111750"/>
            <wp:effectExtent l="0" t="0" r="12700" b="8890"/>
            <wp:docPr id="41" name="图片 41" descr="7fabb76f5e59132e5b39769cc9a63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7fabb76f5e59132e5b39769cc9a63b7"/>
                    <pic:cNvPicPr>
                      <a:picLocks noChangeAspect="1"/>
                    </pic:cNvPicPr>
                  </pic:nvPicPr>
                  <pic:blipFill>
                    <a:blip r:embed="rId106"/>
                    <a:srcRect l="3602" t="6938" r="3539" b="5737"/>
                    <a:stretch>
                      <a:fillRect/>
                    </a:stretch>
                  </pic:blipFill>
                  <pic:spPr>
                    <a:xfrm rot="16200000">
                      <a:off x="0" y="0"/>
                      <a:ext cx="7249160" cy="5111750"/>
                    </a:xfrm>
                    <a:prstGeom prst="rect">
                      <a:avLst/>
                    </a:prstGeom>
                  </pic:spPr>
                </pic:pic>
              </a:graphicData>
            </a:graphic>
          </wp:inline>
        </w:drawing>
      </w:r>
    </w:p>
    <w:p>
      <w:pPr>
        <w:widowControl w:val="0"/>
        <w:numPr>
          <w:ilvl w:val="0"/>
          <w:numId w:val="0"/>
        </w:numPr>
        <w:spacing w:line="360" w:lineRule="auto"/>
        <w:jc w:val="both"/>
        <w:rPr>
          <w:rFonts w:hint="eastAsia" w:ascii="宋体" w:hAnsi="宋体" w:eastAsia="宋体" w:cs="宋体"/>
          <w:b w:val="0"/>
          <w:bCs w:val="0"/>
          <w:color w:val="auto"/>
          <w:sz w:val="24"/>
          <w:szCs w:val="24"/>
          <w:highlight w:val="none"/>
          <w:lang w:val="en-US" w:eastAsia="zh-CN"/>
        </w:rPr>
        <w:sectPr>
          <w:pgSz w:w="11906" w:h="16838"/>
          <w:pgMar w:top="1440" w:right="1800" w:bottom="1440" w:left="1800" w:header="851" w:footer="992" w:gutter="0"/>
          <w:cols w:space="425" w:num="1"/>
          <w:docGrid w:type="lines" w:linePitch="312" w:charSpace="0"/>
        </w:sectPr>
      </w:pPr>
    </w:p>
    <w:p>
      <w:pPr>
        <w:widowControl w:val="0"/>
        <w:numPr>
          <w:ilvl w:val="0"/>
          <w:numId w:val="0"/>
        </w:numPr>
        <w:spacing w:line="240" w:lineRule="auto"/>
        <w:jc w:val="both"/>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b w:val="0"/>
          <w:bCs w:val="0"/>
          <w:color w:val="auto"/>
          <w:sz w:val="24"/>
          <w:szCs w:val="24"/>
          <w:highlight w:val="none"/>
          <w:lang w:val="en-US" w:eastAsia="zh-CN"/>
        </w:rPr>
        <w:drawing>
          <wp:inline distT="0" distB="0" distL="114300" distR="114300">
            <wp:extent cx="7444740" cy="5224145"/>
            <wp:effectExtent l="0" t="0" r="14605" b="3810"/>
            <wp:docPr id="56" name="图片 56" descr="8eb4882b6137ca11ad173604ed306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8eb4882b6137ca11ad173604ed306d8"/>
                    <pic:cNvPicPr>
                      <a:picLocks noChangeAspect="1"/>
                    </pic:cNvPicPr>
                  </pic:nvPicPr>
                  <pic:blipFill>
                    <a:blip r:embed="rId107"/>
                    <a:srcRect t="7594" r="1269"/>
                    <a:stretch>
                      <a:fillRect/>
                    </a:stretch>
                  </pic:blipFill>
                  <pic:spPr>
                    <a:xfrm rot="16200000">
                      <a:off x="0" y="0"/>
                      <a:ext cx="7444740" cy="5224145"/>
                    </a:xfrm>
                    <a:prstGeom prst="rect">
                      <a:avLst/>
                    </a:prstGeom>
                  </pic:spPr>
                </pic:pic>
              </a:graphicData>
            </a:graphic>
          </wp:inline>
        </w:drawing>
      </w:r>
    </w:p>
    <w:p>
      <w:pPr>
        <w:widowControl w:val="0"/>
        <w:numPr>
          <w:ilvl w:val="0"/>
          <w:numId w:val="0"/>
        </w:numPr>
        <w:spacing w:line="240" w:lineRule="auto"/>
        <w:jc w:val="both"/>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b w:val="0"/>
          <w:bCs w:val="0"/>
          <w:color w:val="auto"/>
          <w:sz w:val="24"/>
          <w:szCs w:val="24"/>
          <w:highlight w:val="none"/>
          <w:lang w:val="en-US" w:eastAsia="zh-CN"/>
        </w:rPr>
        <w:drawing>
          <wp:inline distT="0" distB="0" distL="114300" distR="114300">
            <wp:extent cx="7288530" cy="5229860"/>
            <wp:effectExtent l="0" t="0" r="8890" b="7620"/>
            <wp:docPr id="57" name="图片 57" descr="3e9bc8d48a5fa5ec32e576eae8709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3e9bc8d48a5fa5ec32e576eae87094a"/>
                    <pic:cNvPicPr>
                      <a:picLocks noChangeAspect="1"/>
                    </pic:cNvPicPr>
                  </pic:nvPicPr>
                  <pic:blipFill>
                    <a:blip r:embed="rId108"/>
                    <a:srcRect t="4290"/>
                    <a:stretch>
                      <a:fillRect/>
                    </a:stretch>
                  </pic:blipFill>
                  <pic:spPr>
                    <a:xfrm rot="16200000">
                      <a:off x="0" y="0"/>
                      <a:ext cx="7288530" cy="5229860"/>
                    </a:xfrm>
                    <a:prstGeom prst="rect">
                      <a:avLst/>
                    </a:prstGeom>
                  </pic:spPr>
                </pic:pic>
              </a:graphicData>
            </a:graphic>
          </wp:inline>
        </w:drawing>
      </w:r>
    </w:p>
    <w:p>
      <w:pPr>
        <w:rPr>
          <w:rFonts w:hint="eastAsia" w:ascii="宋体" w:hAnsi="宋体" w:eastAsia="宋体" w:cs="宋体"/>
          <w:color w:val="auto"/>
        </w:rPr>
      </w:pPr>
      <w:r>
        <w:rPr>
          <w:rFonts w:hint="eastAsia" w:ascii="宋体" w:hAnsi="宋体" w:eastAsia="宋体" w:cs="宋体"/>
          <w:b w:val="0"/>
          <w:bCs w:val="0"/>
          <w:color w:val="auto"/>
          <w:sz w:val="24"/>
          <w:szCs w:val="24"/>
          <w:highlight w:val="none"/>
          <w:lang w:val="en-US" w:eastAsia="zh-CN"/>
        </w:rPr>
        <w:drawing>
          <wp:inline distT="0" distB="0" distL="114300" distR="114300">
            <wp:extent cx="7891145" cy="5646420"/>
            <wp:effectExtent l="0" t="0" r="11430" b="14605"/>
            <wp:docPr id="106" name="图片 106" descr="fa153a650cc21d67bdf1ed707bc7c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fa153a650cc21d67bdf1ed707bc7c00"/>
                    <pic:cNvPicPr>
                      <a:picLocks noChangeAspect="1"/>
                    </pic:cNvPicPr>
                  </pic:nvPicPr>
                  <pic:blipFill>
                    <a:blip r:embed="rId109"/>
                    <a:srcRect t="2552" r="3325" b="5194"/>
                    <a:stretch>
                      <a:fillRect/>
                    </a:stretch>
                  </pic:blipFill>
                  <pic:spPr>
                    <a:xfrm rot="16200000">
                      <a:off x="0" y="0"/>
                      <a:ext cx="7891145" cy="5646420"/>
                    </a:xfrm>
                    <a:prstGeom prst="rect">
                      <a:avLst/>
                    </a:prstGeom>
                  </pic:spPr>
                </pic:pic>
              </a:graphicData>
            </a:graphic>
          </wp:inline>
        </w:drawing>
      </w:r>
    </w:p>
    <w:p>
      <w:pPr>
        <w:rPr>
          <w:rFonts w:hint="eastAsia" w:ascii="宋体" w:hAnsi="宋体" w:eastAsia="宋体" w:cs="宋体"/>
          <w:b/>
          <w:bCs/>
          <w:color w:val="auto"/>
          <w:lang w:val="en-US" w:eastAsia="zh-CN"/>
        </w:rPr>
      </w:pPr>
      <w:r>
        <w:rPr>
          <w:rFonts w:hint="eastAsia" w:ascii="宋体" w:hAnsi="宋体" w:eastAsia="宋体" w:cs="宋体"/>
          <w:b/>
          <w:bCs/>
          <w:color w:val="auto"/>
          <w:lang w:val="en-US" w:eastAsia="zh-CN"/>
        </w:rPr>
        <w:br w:type="page"/>
      </w:r>
    </w:p>
    <w:p>
      <w:pPr>
        <w:pStyle w:val="2"/>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宋体" w:hAnsi="宋体" w:eastAsia="宋体" w:cs="宋体"/>
          <w:b/>
          <w:color w:val="auto"/>
          <w:sz w:val="28"/>
          <w:szCs w:val="28"/>
          <w:highlight w:val="none"/>
          <w:lang w:val="en-US" w:eastAsia="zh-CN"/>
        </w:rPr>
      </w:pPr>
      <w:r>
        <w:rPr>
          <w:rFonts w:hint="eastAsia" w:ascii="宋体" w:hAnsi="宋体" w:eastAsia="宋体" w:cs="宋体"/>
          <w:b/>
          <w:color w:val="auto"/>
          <w:sz w:val="28"/>
          <w:szCs w:val="28"/>
          <w:highlight w:val="none"/>
          <w:lang w:val="en-US" w:eastAsia="zh-CN"/>
        </w:rPr>
        <w:t>附件4 医院排污许可证</w:t>
      </w:r>
    </w:p>
    <w:p>
      <w:pPr>
        <w:rPr>
          <w:rFonts w:hint="eastAsia" w:ascii="宋体" w:hAnsi="宋体" w:eastAsia="宋体" w:cs="宋体"/>
          <w:color w:val="auto"/>
        </w:rPr>
      </w:pPr>
      <w:r>
        <w:rPr>
          <w:rFonts w:hint="eastAsia" w:ascii="宋体" w:hAnsi="宋体" w:eastAsia="宋体" w:cs="宋体"/>
          <w:color w:val="auto"/>
        </w:rPr>
        <w:drawing>
          <wp:inline distT="0" distB="0" distL="114300" distR="114300">
            <wp:extent cx="5272405" cy="3738880"/>
            <wp:effectExtent l="0" t="0" r="4445" b="13970"/>
            <wp:docPr id="6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4"/>
                    <pic:cNvPicPr>
                      <a:picLocks noChangeAspect="1"/>
                    </pic:cNvPicPr>
                  </pic:nvPicPr>
                  <pic:blipFill>
                    <a:blip r:embed="rId110"/>
                    <a:stretch>
                      <a:fillRect/>
                    </a:stretch>
                  </pic:blipFill>
                  <pic:spPr>
                    <a:xfrm>
                      <a:off x="0" y="0"/>
                      <a:ext cx="5272405" cy="3738880"/>
                    </a:xfrm>
                    <a:prstGeom prst="rect">
                      <a:avLst/>
                    </a:prstGeom>
                    <a:noFill/>
                    <a:ln>
                      <a:noFill/>
                    </a:ln>
                  </pic:spPr>
                </pic:pic>
              </a:graphicData>
            </a:graphic>
          </wp:inline>
        </w:drawing>
      </w:r>
    </w:p>
    <w:p>
      <w:pPr>
        <w:rPr>
          <w:rFonts w:hint="eastAsia" w:ascii="宋体" w:hAnsi="宋体" w:eastAsia="宋体" w:cs="宋体"/>
          <w:color w:val="auto"/>
        </w:rPr>
      </w:pPr>
      <w:r>
        <w:rPr>
          <w:rFonts w:hint="eastAsia" w:ascii="宋体" w:hAnsi="宋体" w:eastAsia="宋体" w:cs="宋体"/>
          <w:color w:val="auto"/>
        </w:rPr>
        <w:br w:type="page"/>
      </w:r>
    </w:p>
    <w:p>
      <w:pPr>
        <w:pStyle w:val="2"/>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宋体" w:hAnsi="宋体" w:eastAsia="宋体" w:cs="宋体"/>
          <w:b/>
          <w:color w:val="auto"/>
          <w:sz w:val="28"/>
          <w:szCs w:val="28"/>
          <w:highlight w:val="none"/>
          <w:lang w:val="en-US" w:eastAsia="zh-CN"/>
        </w:rPr>
      </w:pPr>
      <w:r>
        <w:rPr>
          <w:rFonts w:hint="eastAsia" w:ascii="宋体" w:hAnsi="宋体" w:eastAsia="宋体" w:cs="宋体"/>
          <w:b/>
          <w:color w:val="auto"/>
          <w:sz w:val="28"/>
          <w:szCs w:val="28"/>
          <w:highlight w:val="none"/>
          <w:lang w:val="en-US" w:eastAsia="zh-CN"/>
        </w:rPr>
        <w:t>附件5 立项文件</w:t>
      </w:r>
    </w:p>
    <w:p>
      <w:pPr>
        <w:rPr>
          <w:rFonts w:hint="eastAsia" w:ascii="宋体" w:hAnsi="宋体" w:eastAsia="宋体" w:cs="宋体"/>
          <w:color w:val="auto"/>
          <w:lang w:val="en-US" w:eastAsia="zh-CN"/>
        </w:rPr>
      </w:pPr>
      <w:r>
        <w:rPr>
          <w:rFonts w:hint="eastAsia" w:ascii="宋体" w:hAnsi="宋体" w:eastAsia="宋体" w:cs="宋体"/>
        </w:rPr>
        <w:drawing>
          <wp:inline distT="0" distB="0" distL="114300" distR="114300">
            <wp:extent cx="5457825" cy="7658100"/>
            <wp:effectExtent l="0" t="0" r="9525" b="0"/>
            <wp:docPr id="107"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48"/>
                    <pic:cNvPicPr>
                      <a:picLocks noChangeAspect="1"/>
                    </pic:cNvPicPr>
                  </pic:nvPicPr>
                  <pic:blipFill>
                    <a:blip r:embed="rId111"/>
                    <a:stretch>
                      <a:fillRect/>
                    </a:stretch>
                  </pic:blipFill>
                  <pic:spPr>
                    <a:xfrm>
                      <a:off x="0" y="0"/>
                      <a:ext cx="5457825" cy="7658100"/>
                    </a:xfrm>
                    <a:prstGeom prst="rect">
                      <a:avLst/>
                    </a:prstGeom>
                    <a:noFill/>
                    <a:ln>
                      <a:noFill/>
                    </a:ln>
                  </pic:spPr>
                </pic:pic>
              </a:graphicData>
            </a:graphic>
          </wp:inline>
        </w:drawing>
      </w:r>
    </w:p>
    <w:p>
      <w:pPr>
        <w:rPr>
          <w:rFonts w:hint="eastAsia" w:ascii="宋体" w:hAnsi="宋体" w:eastAsia="宋体" w:cs="宋体"/>
          <w:color w:val="0000FF"/>
          <w:lang w:val="en-US" w:eastAsia="zh-CN"/>
        </w:rPr>
      </w:pPr>
    </w:p>
    <w:p>
      <w:pPr>
        <w:rPr>
          <w:rFonts w:hint="eastAsia" w:ascii="宋体" w:hAnsi="宋体" w:eastAsia="宋体" w:cs="宋体"/>
          <w:color w:val="0000FF"/>
          <w:highlight w:val="none"/>
          <w:lang w:eastAsia="zh-CN"/>
        </w:rPr>
      </w:pPr>
      <w:r>
        <w:rPr>
          <w:rFonts w:hint="eastAsia" w:ascii="宋体" w:hAnsi="宋体" w:eastAsia="宋体" w:cs="宋体"/>
          <w:color w:val="0000FF"/>
          <w:highlight w:val="none"/>
          <w:lang w:eastAsia="zh-CN"/>
        </w:rPr>
        <w:br w:type="page"/>
      </w:r>
    </w:p>
    <w:p>
      <w:pPr>
        <w:rPr>
          <w:rFonts w:hint="eastAsia" w:ascii="宋体" w:hAnsi="宋体" w:eastAsia="宋体" w:cs="宋体"/>
          <w:color w:val="0000FF"/>
          <w:lang w:eastAsia="zh-CN"/>
        </w:rPr>
        <w:sectPr>
          <w:footerReference r:id="rId8" w:type="first"/>
          <w:headerReference r:id="rId5" w:type="default"/>
          <w:footerReference r:id="rId6" w:type="default"/>
          <w:footerReference r:id="rId7" w:type="even"/>
          <w:pgSz w:w="11906" w:h="16838"/>
          <w:pgMar w:top="1440" w:right="1588" w:bottom="1440" w:left="1588" w:header="851" w:footer="992" w:gutter="0"/>
          <w:pgBorders>
            <w:top w:val="none" w:sz="0" w:space="0"/>
            <w:left w:val="none" w:sz="0" w:space="0"/>
            <w:bottom w:val="none" w:sz="0" w:space="0"/>
            <w:right w:val="none" w:sz="0" w:space="0"/>
          </w:pgBorders>
          <w:cols w:space="425" w:num="1"/>
          <w:docGrid w:type="lines" w:linePitch="312" w:charSpace="0"/>
        </w:sectPr>
      </w:pPr>
    </w:p>
    <w:p>
      <w:pPr>
        <w:pStyle w:val="2"/>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宋体" w:hAnsi="宋体" w:eastAsia="宋体" w:cs="宋体"/>
          <w:b/>
          <w:color w:val="auto"/>
          <w:sz w:val="28"/>
          <w:szCs w:val="28"/>
          <w:highlight w:val="none"/>
          <w:lang w:val="en-US" w:eastAsia="zh-CN"/>
        </w:rPr>
      </w:pPr>
      <w:bookmarkStart w:id="26" w:name="_Toc7445"/>
      <w:bookmarkStart w:id="27" w:name="_Toc68939064"/>
      <w:bookmarkStart w:id="28" w:name="_Toc518927890"/>
      <w:r>
        <w:rPr>
          <w:rFonts w:hint="eastAsia" w:ascii="宋体" w:hAnsi="宋体" w:eastAsia="宋体" w:cs="宋体"/>
          <w:b/>
          <w:color w:val="auto"/>
          <w:sz w:val="28"/>
          <w:szCs w:val="28"/>
          <w:highlight w:val="none"/>
          <w:lang w:val="en-US" w:eastAsia="zh-CN"/>
        </w:rPr>
        <w:t>附图1地理位置图</w:t>
      </w:r>
      <w:bookmarkEnd w:id="26"/>
      <w:bookmarkEnd w:id="27"/>
      <w:bookmarkEnd w:id="28"/>
    </w:p>
    <w:p>
      <w:pPr>
        <w:jc w:val="center"/>
        <w:outlineLvl w:val="0"/>
        <w:rPr>
          <w:rFonts w:hint="eastAsia" w:ascii="宋体" w:hAnsi="宋体" w:eastAsia="宋体" w:cs="宋体"/>
          <w:b/>
          <w:color w:val="0000FF"/>
          <w:sz w:val="24"/>
          <w:highlight w:val="none"/>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bookmarkStart w:id="29" w:name="_Toc29543"/>
      <w:bookmarkStart w:id="30" w:name="_Toc650"/>
      <w:bookmarkStart w:id="31" w:name="_Toc29630"/>
      <w:bookmarkStart w:id="32" w:name="_Toc68939065"/>
      <w:bookmarkStart w:id="33" w:name="_Toc8704"/>
      <w:bookmarkStart w:id="34" w:name="_Toc16536"/>
      <w:bookmarkStart w:id="35" w:name="_Toc4726"/>
      <w:r>
        <w:rPr>
          <w:rFonts w:hint="eastAsia" w:ascii="宋体" w:hAnsi="宋体" w:eastAsia="宋体" w:cs="宋体"/>
          <w:b/>
          <w:color w:val="0000FF"/>
          <w:highlight w:val="none"/>
        </w:rPr>
        <mc:AlternateContent>
          <mc:Choice Requires="wps">
            <w:drawing>
              <wp:anchor distT="0" distB="0" distL="114300" distR="114300" simplePos="0" relativeHeight="251664384" behindDoc="0" locked="0" layoutInCell="1" allowOverlap="1">
                <wp:simplePos x="0" y="0"/>
                <wp:positionH relativeFrom="column">
                  <wp:posOffset>4000500</wp:posOffset>
                </wp:positionH>
                <wp:positionV relativeFrom="paragraph">
                  <wp:posOffset>3012440</wp:posOffset>
                </wp:positionV>
                <wp:extent cx="1024255" cy="288925"/>
                <wp:effectExtent l="598805" t="327025" r="15240" b="12700"/>
                <wp:wrapNone/>
                <wp:docPr id="26" name="自选图形 38"/>
                <wp:cNvGraphicFramePr/>
                <a:graphic xmlns:a="http://schemas.openxmlformats.org/drawingml/2006/main">
                  <a:graphicData uri="http://schemas.microsoft.com/office/word/2010/wordprocessingShape">
                    <wps:wsp>
                      <wps:cNvSpPr/>
                      <wps:spPr>
                        <a:xfrm>
                          <a:off x="0" y="0"/>
                          <a:ext cx="1024255" cy="288925"/>
                        </a:xfrm>
                        <a:prstGeom prst="wedgeRectCallout">
                          <a:avLst>
                            <a:gd name="adj1" fmla="val -104861"/>
                            <a:gd name="adj2" fmla="val -157694"/>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本项目位置</w:t>
                            </w:r>
                          </w:p>
                        </w:txbxContent>
                      </wps:txbx>
                      <wps:bodyPr upright="1"/>
                    </wps:wsp>
                  </a:graphicData>
                </a:graphic>
              </wp:anchor>
            </w:drawing>
          </mc:Choice>
          <mc:Fallback>
            <w:pict>
              <v:shape id="自选图形 38" o:spid="_x0000_s1026" o:spt="61" type="#_x0000_t61" style="position:absolute;left:0pt;margin-left:315pt;margin-top:237.2pt;height:22.75pt;width:80.65pt;z-index:251664384;mso-width-relative:page;mso-height-relative:page;" fillcolor="#FFFFFF" filled="t" stroked="t" coordsize="21600,21600" o:gfxdata="UEsDBAoAAAAAAIdO4kAAAAAAAAAAAAAAAAAEAAAAZHJzL1BLAwQUAAAACACHTuJA+hzfd9wAAAAL&#10;AQAADwAAAGRycy9kb3ducmV2LnhtbE2PQU+EMBSE7yb+h+aZeDFui4u7gDz2YLKJHjZR3B9QaBdQ&#10;+srSsuC/t570OJnJzDf5bjE9u+jRdZYQopUApqm2qqMG4fixv0+AOS9Jyd6SRvjWDnbF9VUuM2Vn&#10;eteX0jcslJDLJELr/ZBx7upWG+lWdtAUvJMdjfRBjg1Xo5xDuen5gxAbbmRHYaGVg35udf1VTgYh&#10;KQ/zgV6Tk787Lufz/nN6e6kmxNubSDwB83rxf2H4xQ/oUASmyk6kHOsRNmsRvniEeBvHwEJim0Zr&#10;YBXCY5SmwIuc//9Q/ABQSwMEFAAAAAgAh07iQGXmt8I8AgAAkgQAAA4AAABkcnMvZTJvRG9jLnht&#10;bK1US44TMRDdI3EHy/tJf0hCEqUziwlhg2DEwAEc291t5J9sJ53s2CHOwI4ld4DbjAS3oOw0mWRg&#10;kQW96JTb5ef3XlVlfr1TEm2588LoCheDHCOuqWFCNxV+/251NcHIB6IZkUbzCu+5x9eLp0/mnZ3x&#10;0rRGMu4QgGg/62yF2xDsLMs8bbkifmAs17BZG6dIgKVrMuZIB+hKZmWej7POOGadodx7+Lo8bOIe&#10;0V0CaOpaUL40dKO4DgdUxyUJIMm3wnq8SGzrmtPwpq49D0hWGJSG9IZLIF7Hd7aYk1njiG0F7SmQ&#10;Syg80qSI0HDpEWpJAkEbJ/6CUoI6400dBtSo7CAkOQIqivyRN3ctsTxpAau9PZru/x8sfb29dUiw&#10;CpdjjDRRUPGfn779+vj5/suP++9f0bNJ9Kizfgapd/bW9SsPYRS8q52KvyAF7ZKv+6OvfBcQhY9F&#10;Xg7L0QgjCnvlZDItRxE0ezhtnQ8vuVEoBhXuOGv4WyjeDZHSbEKylmxf+ZA8Zj1Rwj4UGNVKQsm2&#10;RKKrIh9OxkVf1JOs8jxr9Hw8HfYMelTg8odDvMIbKdhKSJkWrlnfSIfgigqv0tMfPkuTGnUVno5A&#10;HKIEJqOGjoRQWXDX6yaJODvhT4Hz9PwLOBJbEt8eCCSEg0QlAnepg1tO2AvNUNhbKKCGwcWRjOIM&#10;I8lhzmOUMgMR8pJMMERqqFGs/KHWMQq79a5vgLVhe2idjXWiaaFmyfaUDq2aituPVZyF03UCffgr&#10;WfwG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hzfd9wAAAALAQAADwAAAAAAAAABACAAAAAiAAAA&#10;ZHJzL2Rvd25yZXYueG1sUEsBAhQAFAAAAAgAh07iQGXmt8I8AgAAkgQAAA4AAAAAAAAAAQAgAAAA&#10;KwEAAGRycy9lMm9Eb2MueG1sUEsFBgAAAAAGAAYAWQEAANkFAAAAAA==&#10;" adj="-11850,-23262">
                <v:fill on="t" focussize="0,0"/>
                <v:stroke color="#000000" joinstyle="miter"/>
                <v:imagedata o:title=""/>
                <o:lock v:ext="edit" aspectratio="f"/>
                <v:textbox>
                  <w:txbxContent>
                    <w:p>
                      <w:r>
                        <w:rPr>
                          <w:rFonts w:hint="eastAsia"/>
                        </w:rPr>
                        <w:t>本项目位置</w:t>
                      </w:r>
                    </w:p>
                  </w:txbxContent>
                </v:textbox>
              </v:shape>
            </w:pict>
          </mc:Fallback>
        </mc:AlternateContent>
      </w:r>
      <w:r>
        <w:rPr>
          <w:rFonts w:hint="eastAsia" w:ascii="宋体" w:hAnsi="宋体" w:eastAsia="宋体" w:cs="宋体"/>
        </w:rPr>
        <w:drawing>
          <wp:inline distT="0" distB="0" distL="114300" distR="114300">
            <wp:extent cx="6788150" cy="4775200"/>
            <wp:effectExtent l="0" t="0" r="12700" b="6350"/>
            <wp:docPr id="40"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76"/>
                    <pic:cNvPicPr>
                      <a:picLocks noChangeAspect="1"/>
                    </pic:cNvPicPr>
                  </pic:nvPicPr>
                  <pic:blipFill>
                    <a:blip r:embed="rId112"/>
                    <a:stretch>
                      <a:fillRect/>
                    </a:stretch>
                  </pic:blipFill>
                  <pic:spPr>
                    <a:xfrm>
                      <a:off x="0" y="0"/>
                      <a:ext cx="6788150" cy="4775200"/>
                    </a:xfrm>
                    <a:prstGeom prst="rect">
                      <a:avLst/>
                    </a:prstGeom>
                    <a:noFill/>
                    <a:ln>
                      <a:noFill/>
                    </a:ln>
                  </pic:spPr>
                </pic:pic>
              </a:graphicData>
            </a:graphic>
          </wp:inline>
        </w:drawing>
      </w:r>
      <w:r>
        <w:rPr>
          <w:rFonts w:hint="eastAsia" w:ascii="宋体" w:hAnsi="宋体" w:eastAsia="宋体" w:cs="宋体"/>
          <w:color w:val="0000FF"/>
          <w:highlight w:val="none"/>
        </w:rPr>
        <w:drawing>
          <wp:anchor distT="0" distB="0" distL="114300" distR="114300" simplePos="0" relativeHeight="251666432" behindDoc="0" locked="0" layoutInCell="1" allowOverlap="1">
            <wp:simplePos x="0" y="0"/>
            <wp:positionH relativeFrom="column">
              <wp:posOffset>7039610</wp:posOffset>
            </wp:positionH>
            <wp:positionV relativeFrom="paragraph">
              <wp:posOffset>268605</wp:posOffset>
            </wp:positionV>
            <wp:extent cx="561340" cy="699770"/>
            <wp:effectExtent l="0" t="0" r="0" b="5080"/>
            <wp:wrapNone/>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61109" cy="699774"/>
                    </a:xfrm>
                    <a:prstGeom prst="rect">
                      <a:avLst/>
                    </a:prstGeom>
                  </pic:spPr>
                </pic:pic>
              </a:graphicData>
            </a:graphic>
          </wp:anchor>
        </w:drawing>
      </w:r>
      <w:bookmarkEnd w:id="29"/>
      <w:bookmarkEnd w:id="30"/>
      <w:bookmarkEnd w:id="31"/>
      <w:bookmarkEnd w:id="32"/>
      <w:bookmarkEnd w:id="33"/>
      <w:bookmarkEnd w:id="34"/>
      <w:bookmarkEnd w:id="35"/>
    </w:p>
    <w:p>
      <w:pPr>
        <w:pStyle w:val="2"/>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宋体" w:hAnsi="宋体" w:eastAsia="宋体" w:cs="宋体"/>
          <w:b/>
          <w:color w:val="auto"/>
          <w:sz w:val="28"/>
          <w:szCs w:val="28"/>
          <w:highlight w:val="none"/>
          <w:lang w:val="en-US" w:eastAsia="zh-CN"/>
        </w:rPr>
      </w:pPr>
      <w:bookmarkStart w:id="36" w:name="_Toc32067"/>
      <w:bookmarkStart w:id="37" w:name="_Toc68939066"/>
      <w:r>
        <w:rPr>
          <w:rFonts w:hint="eastAsia" w:ascii="宋体" w:hAnsi="宋体" w:eastAsia="宋体" w:cs="宋体"/>
          <w:b/>
          <w:color w:val="auto"/>
          <w:sz w:val="28"/>
          <w:szCs w:val="28"/>
          <w:highlight w:val="none"/>
          <w:lang w:val="en-US" w:eastAsia="zh-CN"/>
        </w:rPr>
        <w:t>附图2 项目评价范围及与周围环境关系图</w:t>
      </w:r>
      <w:bookmarkEnd w:id="36"/>
    </w:p>
    <w:p>
      <w:pPr>
        <w:pStyle w:val="2"/>
        <w:keepNext/>
        <w:keepLines/>
        <w:pageBreakBefore w:val="0"/>
        <w:widowControl w:val="0"/>
        <w:kinsoku/>
        <w:wordWrap/>
        <w:overflowPunct/>
        <w:topLinePunct w:val="0"/>
        <w:autoSpaceDE/>
        <w:autoSpaceDN/>
        <w:bidi w:val="0"/>
        <w:adjustRightInd/>
        <w:snapToGrid/>
        <w:spacing w:before="0" w:after="0" w:line="360" w:lineRule="auto"/>
        <w:jc w:val="center"/>
        <w:textAlignment w:val="auto"/>
        <w:rPr>
          <w:rFonts w:hint="eastAsia" w:ascii="宋体" w:hAnsi="宋体" w:eastAsia="宋体" w:cs="宋体"/>
          <w:b/>
          <w:color w:val="0000FF"/>
          <w:sz w:val="24"/>
          <w:szCs w:val="24"/>
          <w:highlight w:val="none"/>
          <w:lang w:val="en-US" w:eastAsia="zh-CN"/>
        </w:rPr>
      </w:pPr>
      <w:r>
        <w:rPr>
          <w:rFonts w:hint="eastAsia" w:ascii="宋体" w:hAnsi="宋体" w:eastAsia="宋体" w:cs="宋体"/>
          <w:b/>
          <w:color w:val="0000FF"/>
          <w:sz w:val="24"/>
          <w:szCs w:val="24"/>
          <w:highlight w:val="none"/>
          <w:lang w:val="en-US" w:eastAsia="zh-CN"/>
        </w:rPr>
        <mc:AlternateContent>
          <mc:Choice Requires="wps">
            <w:drawing>
              <wp:anchor distT="0" distB="0" distL="114300" distR="114300" simplePos="0" relativeHeight="251704320" behindDoc="0" locked="0" layoutInCell="1" allowOverlap="1">
                <wp:simplePos x="0" y="0"/>
                <wp:positionH relativeFrom="column">
                  <wp:posOffset>4458970</wp:posOffset>
                </wp:positionH>
                <wp:positionV relativeFrom="paragraph">
                  <wp:posOffset>4120515</wp:posOffset>
                </wp:positionV>
                <wp:extent cx="1127125" cy="254000"/>
                <wp:effectExtent l="742950" t="230505" r="19685" b="18415"/>
                <wp:wrapNone/>
                <wp:docPr id="115" name="矩形标注 115"/>
                <wp:cNvGraphicFramePr/>
                <a:graphic xmlns:a="http://schemas.openxmlformats.org/drawingml/2006/main">
                  <a:graphicData uri="http://schemas.microsoft.com/office/word/2010/wordprocessingShape">
                    <wps:wsp>
                      <wps:cNvSpPr/>
                      <wps:spPr>
                        <a:xfrm>
                          <a:off x="0" y="0"/>
                          <a:ext cx="1127125" cy="254000"/>
                        </a:xfrm>
                        <a:prstGeom prst="wedgeRectCallout">
                          <a:avLst>
                            <a:gd name="adj1" fmla="val -114788"/>
                            <a:gd name="adj2" fmla="val -135750"/>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pPr>
                              <w:jc w:val="both"/>
                              <w:rPr>
                                <w:rFonts w:hint="default" w:eastAsia="宋体"/>
                                <w:color w:val="FF0000"/>
                                <w:lang w:val="en-US" w:eastAsia="zh-CN"/>
                              </w:rPr>
                            </w:pPr>
                            <w:r>
                              <w:rPr>
                                <w:rFonts w:hint="eastAsia"/>
                                <w:color w:val="FF0000"/>
                                <w:lang w:val="en-US" w:eastAsia="zh-CN"/>
                              </w:rPr>
                              <w:t>本项目评价范围</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61" type="#_x0000_t61" style="position:absolute;left:0pt;margin-left:351.1pt;margin-top:324.45pt;height:20pt;width:88.75pt;z-index:251704320;v-text-anchor:middle;mso-width-relative:page;mso-height-relative:page;" filled="f" stroked="t" coordsize="21600,21600" o:gfxdata="UEsDBAoAAAAAAIdO4kAAAAAAAAAAAAAAAAAEAAAAZHJzL1BLAwQUAAAACACHTuJAiMcFe9kAAAAL&#10;AQAADwAAAGRycy9kb3ducmV2LnhtbE2PwU7DMAyG70i8Q2QkLoglK2jtStMdkBCXSahjB45ZY9qK&#10;xilN2m5vjznB0b8//f5c7M6uFzOOofOkYb1SIJBqbztqNBzfX+4zECEasqb3hBouGGBXXl8VJrd+&#10;oQrnQ2wEl1DIjYY2xiGXMtQtOhNWfkDi3acfnYk8jo20o1m43PUyUWojnemIL7RmwOcW66/D5DQs&#10;D/Lu26lQHee3/cf0Wu374RK0vr1ZqycQEc/xD4ZffVaHkp1OfiIbRK8hVUnCqIbNY7YFwUSWblMQ&#10;J04yTmRZyP8/lD9QSwMEFAAAAAgAh07iQKHMstKjAgAAOwUAAA4AAABkcnMvZTJvRG9jLnhtbK1U&#10;zW4TMRC+I/EOlu/tZtOGRlE2VZSoCKmCioI4O15vdpH/sJ1sygvwGCBOcObM41Beg8/eTf/g0AOX&#10;3bE9/uabb2Y8Pd0pSbbC+cboguaHA0qE5qZs9Lqgb9+cHYwp8YHpkkmjRUGvhKens6dPpq2diKGp&#10;jSyFIwDRftLagtYh2EmWeV4LxfyhsULjsDJOsYClW2elYy3QlcyGg8GzrDWutM5w4T12l90h7RHd&#10;YwBNVTVcLA3fKKFDh+qEZAEp+bqxns4S26oSPLyqKi8CkQVFpiF9EQT2Kn6z2ZRN1o7ZuuE9BfYY&#10;Cg9yUqzRCHoDtWSBkY1r/oJSDXfGmyoccqOyLpGkCLLIBw+0uayZFSkXSO3tjej+/8Hyl9sLR5oS&#10;nZCPKNFMoeS/P3//9fPr9ZdP1z++kbgPlVrrJ3C+tBeuX3mYMeVd5VT8IxmyS8pe3SgrdoFwbOb5&#10;8CQfIgDH2XB0PBgk6bPb29b58FwYRaJR0FaUa/Ea5VswKc0mJHHZ9tyHpHLZM2Xl+5ySSkkUbcsk&#10;Ocjz45PxuC/rHa/hfa+j0cloz6BHBZc9hxhCm7NGytQeUpO2Z40EGHq+Qq/BVBa6eb2mhMk1hokH&#10;l3h6I5syXo9A3q1XC+kI6BX0aDxajuedU81K0e2OIMeeTe8+m4LPPZxIbsl83V1JRzFNuEmNX6xP&#10;V5Fohd1q15dpZcorlNiZrve95WcNoM6ZDxfMQTeMAp6D8AqfShpkanqLktq4j//aj/7oQZxS0mJ4&#10;oMKHDXOCEvlCozvjpO0NtzdWe0Nv1MJADFQObJKJCy7IvVk5o97hlZjHKDhimiNWp2+/WIRuiPHO&#10;cDGfJzdMlGXhXF9aHsG7Ks43wVRNiEpFYTo1+gVmKgnYz38c2rvr5HX75s3+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IjHBXvZAAAACwEAAA8AAAAAAAAAAQAgAAAAIgAAAGRycy9kb3ducmV2Lnht&#10;bFBLAQIUABQAAAAIAIdO4kChzLLSowIAADsFAAAOAAAAAAAAAAEAIAAAACgBAABkcnMvZTJvRG9j&#10;LnhtbFBLBQYAAAAABgAGAFkBAAA9BgAAAAA=&#10;" adj="-13994,-18522">
                <v:fill on="f" focussize="0,0"/>
                <v:stroke weight="2pt" color="#385D8A [3204]" joinstyle="round"/>
                <v:imagedata o:title=""/>
                <o:lock v:ext="edit" aspectratio="f"/>
                <v:textbox inset="0mm,0mm,0mm,0mm">
                  <w:txbxContent>
                    <w:p>
                      <w:pPr>
                        <w:jc w:val="both"/>
                        <w:rPr>
                          <w:rFonts w:hint="default" w:eastAsia="宋体"/>
                          <w:color w:val="FF0000"/>
                          <w:lang w:val="en-US" w:eastAsia="zh-CN"/>
                        </w:rPr>
                      </w:pPr>
                      <w:r>
                        <w:rPr>
                          <w:rFonts w:hint="eastAsia"/>
                          <w:color w:val="FF0000"/>
                          <w:lang w:val="en-US" w:eastAsia="zh-CN"/>
                        </w:rPr>
                        <w:t>本项目评价范围</w:t>
                      </w:r>
                    </w:p>
                  </w:txbxContent>
                </v:textbox>
              </v:shape>
            </w:pict>
          </mc:Fallback>
        </mc:AlternateContent>
      </w:r>
      <w:r>
        <w:rPr>
          <w:rFonts w:hint="eastAsia" w:ascii="宋体" w:hAnsi="宋体" w:eastAsia="宋体" w:cs="宋体"/>
          <w:b/>
          <w:color w:val="0000FF"/>
          <w:sz w:val="24"/>
          <w:szCs w:val="24"/>
          <w:highlight w:val="none"/>
          <w:lang w:val="en-US" w:eastAsia="zh-CN"/>
        </w:rPr>
        <mc:AlternateContent>
          <mc:Choice Requires="wps">
            <w:drawing>
              <wp:anchor distT="0" distB="0" distL="114300" distR="114300" simplePos="0" relativeHeight="251703296" behindDoc="0" locked="0" layoutInCell="1" allowOverlap="1">
                <wp:simplePos x="0" y="0"/>
                <wp:positionH relativeFrom="column">
                  <wp:posOffset>5685155</wp:posOffset>
                </wp:positionH>
                <wp:positionV relativeFrom="paragraph">
                  <wp:posOffset>788670</wp:posOffset>
                </wp:positionV>
                <wp:extent cx="1127125" cy="254000"/>
                <wp:effectExtent l="458470" t="12700" r="14605" b="190500"/>
                <wp:wrapNone/>
                <wp:docPr id="114" name="矩形标注 114"/>
                <wp:cNvGraphicFramePr/>
                <a:graphic xmlns:a="http://schemas.openxmlformats.org/drawingml/2006/main">
                  <a:graphicData uri="http://schemas.microsoft.com/office/word/2010/wordprocessingShape">
                    <wps:wsp>
                      <wps:cNvSpPr/>
                      <wps:spPr>
                        <a:xfrm>
                          <a:off x="0" y="0"/>
                          <a:ext cx="1127125" cy="254000"/>
                        </a:xfrm>
                        <a:prstGeom prst="wedgeRectCallout">
                          <a:avLst>
                            <a:gd name="adj1" fmla="val -89549"/>
                            <a:gd name="adj2" fmla="val 117750"/>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pPr>
                              <w:jc w:val="both"/>
                              <w:rPr>
                                <w:rFonts w:hint="default" w:eastAsia="宋体"/>
                                <w:color w:val="FF0000"/>
                                <w:lang w:val="en-US" w:eastAsia="zh-CN"/>
                              </w:rPr>
                            </w:pPr>
                            <w:r>
                              <w:rPr>
                                <w:rFonts w:hint="eastAsia"/>
                                <w:color w:val="FF0000"/>
                                <w:lang w:val="en-US" w:eastAsia="zh-CN"/>
                              </w:rPr>
                              <w:t>医院宗地范围</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61" type="#_x0000_t61" style="position:absolute;left:0pt;margin-left:447.65pt;margin-top:62.1pt;height:20pt;width:88.75pt;z-index:251703296;v-text-anchor:middle;mso-width-relative:page;mso-height-relative:page;" filled="f" stroked="t" coordsize="21600,21600" o:gfxdata="UEsDBAoAAAAAAIdO4kAAAAAAAAAAAAAAAAAEAAAAZHJzL1BLAwQUAAAACACHTuJAp5duxt0AAAAM&#10;AQAADwAAAGRycy9kb3ducmV2LnhtbE2PS0/DMBCE70j8B2uRuFG7CSltiNNDEYdKUNGHhLi5sUlC&#10;7XUUu89fz/YEt92d0ew3xfTkLDuYPrQeJQwHApjByusWawmb9evDGFiICrWyHo2EswkwLW9vCpVr&#10;f8SlOaxizSgEQ64kNDF2OeehaoxTYeA7g6R9+96pSGtfc92rI4U7yxMhRtypFulDozoza0y1W+2d&#10;hMnyZW6zz/c0+7ks5h+Xr/PuLZ1JeX83FM/AojnFPzNc8QkdSmLa+j3qwKyE8SRLyUpC8pgAuzrE&#10;U0JttjSN6MTLgv8vUf4CUEsDBBQAAAAIAIdO4kCgB9ELpAIAADkFAAAOAAAAZHJzL2Uyb0RvYy54&#10;bWytVM1uEzEQviPxDpbv7WZDQ9MoSRUlKkKqoKIgzo7Xm13kP2wnm/ICPAaIE5w58ziU1+Czd7ct&#10;hUMPXHbH9vibb76Z8fR0ryTZCedro2c0PxxQIjQ3Ra03M/rm9dnBmBIfmC6YNFrM6JXw9HT++NG0&#10;sRMxNJWRhXAEINpPGjujVQh2kmWeV0Ixf2is0DgsjVMsYOk2WeFYA3Qls+Fg8DRrjCusM1x4j91V&#10;e0g7RPcQQFOWNRcrw7dK6NCiOiFZQEq+qq2n88S2LAUPL8vSi0DkjCLTkL4IAnsdv9l8yiYbx2xV&#10;844CewiFezkpVmsEvYFascDI1tV/QamaO+NNGQ65UVmbSFIEWeSDe9pcVsyKlAuk9vZGdP//YPmL&#10;3YUjdYFOyI8o0Uyh5L8+ffv548v154/X37+SuA+VGusncL60F65beZgx5X3pVPwjGbJPyl7dKCv2&#10;gXBs5vnwOB+OKOE4G46OBoMkfXZ72zofngmjSDRmtBHFRrxC+ZZMSrMNSVy2O/chqVx0TFnxLqek&#10;VBJF2zFJDsYno6OTrqp3nIZ3nfL8+HjUx+8wwaRnEANoc1ZLmZpDatJ0nEGfoeNLdBpMZaGa1xtK&#10;mNxglHhwiaU3si7i9Qjk3Wa9lI6A3Iw+GY9W40XrVLFCtLsjiNGz6dznU/D5AyeSWzFftVfSUcwS&#10;blLjF6vT1iNaYb/ed0Vam+IKBXam7Xxv+VkNqHPmwwVzUA2DgMcgvMSnlAaZms6ipDLuw7/2oz86&#10;EKeUNBgdqPB+y5ygRD7X6M04Z73hemPdG3qrlgZioG5gk0xccEH2ZumMeos3YhGj4Ihpjlitvt1i&#10;GdoRxivDxWKR3DBPloVzfWl5BG+ruNgGU9YhKhWFadXoFpioJGA3/XFk766T1+2LN/8N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p5duxt0AAAAMAQAADwAAAAAAAAABACAAAAAiAAAAZHJzL2Rvd25y&#10;ZXYueG1sUEsBAhQAFAAAAAgAh07iQKAH0QukAgAAOQUAAA4AAAAAAAAAAQAgAAAALAEAAGRycy9l&#10;Mm9Eb2MueG1sUEsFBgAAAAAGAAYAWQEAAEIGAAAAAA==&#10;" adj="-8543,36234">
                <v:fill on="f" focussize="0,0"/>
                <v:stroke weight="2pt" color="#385D8A [3204]" joinstyle="round"/>
                <v:imagedata o:title=""/>
                <o:lock v:ext="edit" aspectratio="f"/>
                <v:textbox inset="0mm,0mm,0mm,0mm">
                  <w:txbxContent>
                    <w:p>
                      <w:pPr>
                        <w:jc w:val="both"/>
                        <w:rPr>
                          <w:rFonts w:hint="default" w:eastAsia="宋体"/>
                          <w:color w:val="FF0000"/>
                          <w:lang w:val="en-US" w:eastAsia="zh-CN"/>
                        </w:rPr>
                      </w:pPr>
                      <w:r>
                        <w:rPr>
                          <w:rFonts w:hint="eastAsia"/>
                          <w:color w:val="FF0000"/>
                          <w:lang w:val="en-US" w:eastAsia="zh-CN"/>
                        </w:rPr>
                        <w:t>医院宗地范围</w:t>
                      </w:r>
                    </w:p>
                  </w:txbxContent>
                </v:textbox>
              </v:shape>
            </w:pict>
          </mc:Fallback>
        </mc:AlternateContent>
      </w:r>
      <w:r>
        <w:rPr>
          <w:rFonts w:hint="eastAsia" w:ascii="宋体" w:hAnsi="宋体" w:eastAsia="宋体" w:cs="宋体"/>
          <w:sz w:val="44"/>
        </w:rPr>
        <mc:AlternateContent>
          <mc:Choice Requires="wps">
            <w:drawing>
              <wp:anchor distT="0" distB="0" distL="114300" distR="114300" simplePos="0" relativeHeight="251695104" behindDoc="0" locked="0" layoutInCell="1" allowOverlap="1">
                <wp:simplePos x="0" y="0"/>
                <wp:positionH relativeFrom="column">
                  <wp:posOffset>4022090</wp:posOffset>
                </wp:positionH>
                <wp:positionV relativeFrom="paragraph">
                  <wp:posOffset>2463165</wp:posOffset>
                </wp:positionV>
                <wp:extent cx="626745" cy="264160"/>
                <wp:effectExtent l="0" t="5715" r="1905" b="15875"/>
                <wp:wrapNone/>
                <wp:docPr id="59" name="直接箭头连接符 59"/>
                <wp:cNvGraphicFramePr/>
                <a:graphic xmlns:a="http://schemas.openxmlformats.org/drawingml/2006/main">
                  <a:graphicData uri="http://schemas.microsoft.com/office/word/2010/wordprocessingShape">
                    <wps:wsp>
                      <wps:cNvCnPr/>
                      <wps:spPr>
                        <a:xfrm flipV="1">
                          <a:off x="4758055" y="4516120"/>
                          <a:ext cx="626745" cy="264160"/>
                        </a:xfrm>
                        <a:prstGeom prst="straightConnector1">
                          <a:avLst/>
                        </a:prstGeom>
                        <a:ln>
                          <a:headEnd type="stealth"/>
                          <a:tailEnd type="stealth"/>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16.7pt;margin-top:193.95pt;height:20.8pt;width:49.35pt;z-index:251695104;mso-width-relative:page;mso-height-relative:page;" filled="f" stroked="t" coordsize="21600,21600" o:gfxdata="UEsDBAoAAAAAAIdO4kAAAAAAAAAAAAAAAAAEAAAAZHJzL1BLAwQUAAAACACHTuJAmxYdC9wAAAAL&#10;AQAADwAAAGRycy9kb3ducmV2LnhtbE2Py07DMBBF90j8gzVI7KjzIm3TOBVCokJsKtoidena0zgQ&#10;j6PYffD3mBUsR/fo3jP18mp7dsbRd44EpJMEGJJyuqNWwG778jAD5oMkLXtHKOAbPSyb25taVtpd&#10;6B3Pm9CyWEK+kgJMCEPFuVcGrfQTNyDF7OhGK0M8x5brUV5iue15liQlt7KjuGDkgM8G1dfmZAW8&#10;7srtW7k3mf9cq/FJHVdUfKyEuL9LkwWwgNfwB8OvflSHJjod3Im0Z72AMs+LiArIZ9M5sEhM8ywF&#10;dhBQZPNH4E3N///Q/ABQSwMEFAAAAAgAh07iQFTV9NAdAgAAAQQAAA4AAABkcnMvZTJvRG9jLnht&#10;bK1TzY7TMBC+I/EOlu80TdVkS9V0JVrKBUElfu6u4ySW/CePt2lfghdA4gScFk5752lgeQzGTllg&#10;4bAHLtbYM/PNfN+MF+cHrcheeJDWVDQfjSkRhttamrair15uHswogcBMzZQ1oqJHAfR8ef/eondz&#10;MbGdVbXwBEEMzHtX0S4EN88y4J3QDEbWCYPOxnrNAl59m9We9YiuVTYZj8ust7523nIBgK/rwUlP&#10;iP4ugLZpJBdryy+0MGFA9UKxgJSgkw7oMnXbNIKH500DIhBVUWQa0olF0N7FM1su2Lz1zHWSn1pg&#10;d2nhFifNpMGiN1BrFhi58PIvKC25t2CbMOJWZwORpAiyyMe3tHnRMScSF5Qa3I3o8P9g+bP91hNZ&#10;V7R4SIlhGid+/fbq25sP158/fX1/9f3Lu2hffiToR7F6B3PMWZmtP93AbX1kfmi8Jo2S7jVuVdIC&#10;2ZFDRadnxWxcFJQc0S7yMp+cZBeHQDgGlJPybIp+jgGTcpqXyZ8NkBHaeQhPhNUkGhWF4Jlsu7Cy&#10;xuCArR/Ksf1TCNgUJv5MiMnGbqRSac7KkB5LFNMxjp8zXN4GlwZN7VAAMC0lTLX4K3jwiQFYJeuY&#10;HoHAt7uV8mTPcJemm1n+aB0VwXJ/hMXaawbdEJdcw5Z1gtWPTU3C0aHIEARToRtcgUn1TxeCK4M1&#10;ouyD0NHa2fqY9E/vuBmpi9MWx9X7/Z6yf/3c5Q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bFh0L&#10;3AAAAAsBAAAPAAAAAAAAAAEAIAAAACIAAABkcnMvZG93bnJldi54bWxQSwECFAAUAAAACACHTuJA&#10;VNX00B0CAAABBAAADgAAAAAAAAABACAAAAArAQAAZHJzL2Uyb0RvYy54bWxQSwUGAAAAAAYABgBZ&#10;AQAAugUAAAAA&#10;">
                <v:fill on="f" focussize="0,0"/>
                <v:stroke weight="2pt" color="#4F81BD [3204]" joinstyle="round" startarrow="classic" endarrow="classic"/>
                <v:imagedata o:title=""/>
                <o:lock v:ext="edit" aspectratio="f"/>
              </v:shape>
            </w:pict>
          </mc:Fallback>
        </mc:AlternateContent>
      </w:r>
      <w:r>
        <w:rPr>
          <w:rFonts w:hint="eastAsia" w:ascii="宋体" w:hAnsi="宋体" w:eastAsia="宋体" w:cs="宋体"/>
          <w:sz w:val="24"/>
        </w:rPr>
        <mc:AlternateContent>
          <mc:Choice Requires="wps">
            <w:drawing>
              <wp:anchor distT="0" distB="0" distL="114300" distR="114300" simplePos="0" relativeHeight="251696128" behindDoc="0" locked="0" layoutInCell="1" allowOverlap="1">
                <wp:simplePos x="0" y="0"/>
                <wp:positionH relativeFrom="column">
                  <wp:posOffset>3879850</wp:posOffset>
                </wp:positionH>
                <wp:positionV relativeFrom="paragraph">
                  <wp:posOffset>2317115</wp:posOffset>
                </wp:positionV>
                <wp:extent cx="615315" cy="274955"/>
                <wp:effectExtent l="0" t="0" r="0" b="0"/>
                <wp:wrapNone/>
                <wp:docPr id="60" name="文本框 60"/>
                <wp:cNvGraphicFramePr/>
                <a:graphic xmlns:a="http://schemas.openxmlformats.org/drawingml/2006/main">
                  <a:graphicData uri="http://schemas.microsoft.com/office/word/2010/wordprocessingShape">
                    <wps:wsp>
                      <wps:cNvSpPr txBox="1"/>
                      <wps:spPr>
                        <a:xfrm rot="19920000">
                          <a:off x="0" y="0"/>
                          <a:ext cx="615315" cy="2749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0000"/>
                                <w:lang w:val="en-US" w:eastAsia="zh-CN"/>
                              </w:rPr>
                            </w:pPr>
                            <w:r>
                              <w:rPr>
                                <w:rFonts w:hint="eastAsia"/>
                                <w:b/>
                                <w:bCs/>
                                <w:color w:val="FF0000"/>
                                <w:lang w:val="en-US" w:eastAsia="zh-CN"/>
                              </w:rPr>
                              <w:t>50m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5.5pt;margin-top:182.45pt;height:21.65pt;width:48.45pt;rotation:-1835008f;z-index:251696128;mso-width-relative:page;mso-height-relative:page;" filled="f" stroked="f" coordsize="21600,21600" o:gfxdata="UEsDBAoAAAAAAIdO4kAAAAAAAAAAAAAAAAAEAAAAZHJzL1BLAwQUAAAACACHTuJAY1hVYNsAAAAL&#10;AQAADwAAAGRycy9kb3ducmV2LnhtbE2PwU7DMBBE70j8g7VI3KidECUhZFMJpF44tQUkuLnxkkTE&#10;6yh208LXY05wm9WMZt/U67MdxUKzHxwjJCsFgrh1ZuAO4eV5c1OC8EGz0aNjQvgiD+vm8qLWlXEn&#10;3tGyD52IJewrjdCHMFVS+rYnq/3KTcTR+3Cz1SGecyfNrE+x3I4yVSqXVg8cP/R6osee2s/90SIs&#10;m/fJPLxu34ai3M35d2a36VOKeH2VqHsQgc7hLwy/+BEdmsh0cEc2XowIeZLELQHhNs/uQMREoYoo&#10;DgiZKlOQTS3/b2h+AFBLAwQUAAAACACHTuJARTCM9UMCAAB2BAAADgAAAGRycy9lMm9Eb2MueG1s&#10;rVTNbhMxEL4j8Q6W72SzadKSqJsqNApCqmilgDg7Xm92Jf9hO90tDwBvwIkLd54rz8FnbxKqwqEH&#10;LtZ4ZvTNfN+MfXnVKUnuhfON0QXNB0NKhOambPS2oB8/rF69psQHpksmjRYFfRCeXs1fvrhs7UyM&#10;TG1kKRwBiPaz1ha0DsHOsszzWijmB8YKjWBlnGIBV7fNSsdaoCuZjYbD86w1rrTOcOE9vMs+SA+I&#10;7jmApqoaLpaG75TQoUd1QrIASr5urKfz1G1VCR5uq8qLQGRBwTSkE0Vgb+KZzS/ZbOuYrRt+aIE9&#10;p4UnnBRrNIqeoJYsMLJzzV9QquHOeFOFATcq64kkRcAiHz7RZl0zKxIXSO3tSXT//2D5+/s7R5qy&#10;oOeQRDOFie+/f9v/+LX/+ZXAB4Fa62fIW1tkhu6N6bA2R7+HM/LuKqeIM9A3n04x5uEwyQGCBOmA&#10;fjipLbpAOJzn+eQsn1DCERpdjKeTSQTNeqyIaZ0Pb4VRJBoFdRhmAmX3Nz70qceUmK7NqpEyDVRq&#10;0qLA2aTv4hQBuNSoERn1nUcrdJvuQHNjygewTETQtLd81aD4DfPhjjlsBpx4O+EWRyUNipiDRUlt&#10;3Jd/+WM+BoYoJS02raD+8445QYl8pzHKaT4eAzaky3hyMcLFPY5sHkf0Tl0bLHOeuktmzA/yaFbO&#10;qE94YotYFSGmOWoXNBzN69DvP54oF4tFSsIyWhZu9NryCN3LudgFUzVJ6ShTr81BPaxjmtXh6cR9&#10;f3xPWX++i/l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Y1hVYNsAAAALAQAADwAAAAAAAAABACAA&#10;AAAiAAAAZHJzL2Rvd25yZXYueG1sUEsBAhQAFAAAAAgAh07iQEUwjPVDAgAAdgQAAA4AAAAAAAAA&#10;AQAgAAAAKgEAAGRycy9lMm9Eb2MueG1sUEsFBgAAAAAGAAYAWQEAAN8FAAAAAA==&#10;">
                <v:fill on="f" focussize="0,0"/>
                <v:stroke on="f" weight="0.5pt"/>
                <v:imagedata o:title=""/>
                <o:lock v:ext="edit" aspectratio="f"/>
                <v:textbox>
                  <w:txbxContent>
                    <w:p>
                      <w:pPr>
                        <w:rPr>
                          <w:rFonts w:hint="default" w:eastAsia="宋体"/>
                          <w:b/>
                          <w:bCs/>
                          <w:color w:val="FF0000"/>
                          <w:lang w:val="en-US" w:eastAsia="zh-CN"/>
                        </w:rPr>
                      </w:pPr>
                      <w:r>
                        <w:rPr>
                          <w:rFonts w:hint="eastAsia"/>
                          <w:b/>
                          <w:bCs/>
                          <w:color w:val="FF0000"/>
                          <w:lang w:val="en-US" w:eastAsia="zh-CN"/>
                        </w:rPr>
                        <w:t>50m</w:t>
                      </w:r>
                    </w:p>
                  </w:txbxContent>
                </v:textbox>
              </v:shape>
            </w:pict>
          </mc:Fallback>
        </mc:AlternateContent>
      </w:r>
      <w:r>
        <w:rPr>
          <w:rFonts w:hint="eastAsia" w:ascii="宋体" w:hAnsi="宋体" w:eastAsia="宋体" w:cs="宋体"/>
          <w:color w:val="0000FF"/>
          <w:highlight w:val="none"/>
        </w:rPr>
        <w:drawing>
          <wp:anchor distT="0" distB="0" distL="114300" distR="114300" simplePos="0" relativeHeight="251697152" behindDoc="0" locked="0" layoutInCell="1" allowOverlap="1">
            <wp:simplePos x="0" y="0"/>
            <wp:positionH relativeFrom="column">
              <wp:posOffset>6903720</wp:posOffset>
            </wp:positionH>
            <wp:positionV relativeFrom="paragraph">
              <wp:posOffset>231140</wp:posOffset>
            </wp:positionV>
            <wp:extent cx="561340" cy="699770"/>
            <wp:effectExtent l="0" t="0" r="10160" b="5080"/>
            <wp:wrapNone/>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61340" cy="699770"/>
                    </a:xfrm>
                    <a:prstGeom prst="rect">
                      <a:avLst/>
                    </a:prstGeom>
                  </pic:spPr>
                </pic:pic>
              </a:graphicData>
            </a:graphic>
          </wp:anchor>
        </w:drawing>
      </w:r>
      <w:r>
        <w:rPr>
          <w:rFonts w:hint="eastAsia" w:ascii="宋体" w:hAnsi="宋体" w:eastAsia="宋体" w:cs="宋体"/>
          <w:b/>
          <w:color w:val="0000FF"/>
          <w:sz w:val="24"/>
          <w:szCs w:val="24"/>
          <w:highlight w:val="none"/>
          <w:lang w:val="en-US" w:eastAsia="zh-CN"/>
        </w:rPr>
        <mc:AlternateContent>
          <mc:Choice Requires="wps">
            <w:drawing>
              <wp:anchor distT="0" distB="0" distL="114300" distR="114300" simplePos="0" relativeHeight="251668480" behindDoc="0" locked="0" layoutInCell="1" allowOverlap="1">
                <wp:simplePos x="0" y="0"/>
                <wp:positionH relativeFrom="column">
                  <wp:posOffset>2034540</wp:posOffset>
                </wp:positionH>
                <wp:positionV relativeFrom="paragraph">
                  <wp:posOffset>1377315</wp:posOffset>
                </wp:positionV>
                <wp:extent cx="822325" cy="254000"/>
                <wp:effectExtent l="12700" t="12700" r="1031875" b="1162050"/>
                <wp:wrapNone/>
                <wp:docPr id="135" name="矩形标注 135"/>
                <wp:cNvGraphicFramePr/>
                <a:graphic xmlns:a="http://schemas.openxmlformats.org/drawingml/2006/main">
                  <a:graphicData uri="http://schemas.microsoft.com/office/word/2010/wordprocessingShape">
                    <wps:wsp>
                      <wps:cNvSpPr/>
                      <wps:spPr>
                        <a:xfrm>
                          <a:off x="7054215" y="2752090"/>
                          <a:ext cx="822325" cy="254000"/>
                        </a:xfrm>
                        <a:prstGeom prst="wedgeRectCallout">
                          <a:avLst>
                            <a:gd name="adj1" fmla="val 173320"/>
                            <a:gd name="adj2" fmla="val 501000"/>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pPr>
                              <w:jc w:val="both"/>
                              <w:rPr>
                                <w:rFonts w:hint="default" w:eastAsia="宋体"/>
                                <w:color w:val="FF0000"/>
                                <w:lang w:val="en-US" w:eastAsia="zh-CN"/>
                              </w:rPr>
                            </w:pPr>
                            <w:r>
                              <w:rPr>
                                <w:rFonts w:hint="eastAsia"/>
                                <w:color w:val="FF0000"/>
                                <w:lang w:val="en-US" w:eastAsia="zh-CN"/>
                              </w:rPr>
                              <w:t>本项目位置</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61" type="#_x0000_t61" style="position:absolute;left:0pt;margin-left:160.2pt;margin-top:108.45pt;height:20pt;width:64.75pt;z-index:251668480;v-text-anchor:middle;mso-width-relative:page;mso-height-relative:page;" filled="f" stroked="t" coordsize="21600,21600" o:gfxdata="UEsDBAoAAAAAAIdO4kAAAAAAAAAAAAAAAAAEAAAAZHJzL1BLAwQUAAAACACHTuJAC2fXxtoAAAAL&#10;AQAADwAAAGRycy9kb3ducmV2LnhtbE2PwU7DMBBE70j8g7VI3KgdEyIS4lQIqXChB9pKcHRjk0TY&#10;6yh20/bv2Z7gtjszmn1bL0/esdlOcQioIFsIYBbbYAbsFOy2q7tHYDFpNNoFtArONsKyub6qdWXC&#10;ET/svEkdoxKMlVbQpzRWnMe2t17HRRgtkvcdJq8TrVPHzaSPVO4dl0IU3OsB6UKvR/vS2/Znc/AK&#10;SrldD6t3+eXOxat7nj/T7s2XSt3eZOIJWLKn9BeGCz6hQ0NM+3BAE5lTcC9FTlEFMitKYJTI85KG&#10;PSkPpPCm5v9/aH4BUEsDBBQAAAAIAIdO4kBFxpL9qwIAAEQFAAAOAAAAZHJzL2Uyb0RvYy54bWyt&#10;VM1uEzEQviPxDpbvdDebhoYomypKVIRU0YiCODteb3aR/7CdbMoL8BggTnDmzONQXoPPu5u2FA49&#10;cNkde8bffPONx9PTvZJkJ5yvjc7p4CilRGhuilpvcvrm9dmTMSU+MF0wabTI6ZXw9HT2+NG0sROR&#10;mcrIQjgCEO0njc1pFYKdJInnlVDMHxkrNJylcYoFLN0mKRxrgK5kkqXp06QxrrDOcOE9dpedk/aI&#10;7iGApixrLpaGb5XQoUN1QrKAknxVW09nLduyFDxclKUXgcicotLQfpEE9jp+k9mUTTaO2armPQX2&#10;EAr3alKs1kh6A7VkgZGtq/+CUjV3xpsyHHGjkq6QVhFUMUjvaXNZMSvaWiC1tzei+/8Hy1/uVo7U&#10;BW7CcESJZgot//Xp288fX64/f7z+/pXEfajUWD9B8KVduX7lYcaS96VT8Y9iyD6nJ+noOBsA6yqn&#10;2ckoS5/1Kot9IBwB4ywbZvDzGDA6TtPWn9wCWefDc2EUiUZOG1FsxCt0csGkNNvQ6sx25z60ghc9&#10;aVa8G1BSKon+7Zgkg5PhMDs0+E5QdjdoBNFv8veYYHJgEBNoc1ZL2d4TqUnTcwZ9hstf4tLBVBYC&#10;er2hhMkNpooH17L0RtZFPB6BvNusF9IRkMvpcDxajuddUMUK0e2OQOagRh8+m4LPHziR3JL5qjvS&#10;umKDECY1frFRXWuiFfbrfd+vtSmu0GtnuiHwlp/VgDpnPqyYg2qYCbwL4QKfUhpUanqLksq4D//a&#10;j/G4jPBS0mCKoML7LXOCEvlC45rGkTsY7mCsD4beqoWBGOgb2LQmDrggD2bpjHqL52Ies8DFNEeu&#10;Tt9+sQjdNOPB4WI+b8MwWpaFc31peQTvujjfBlPWISoVhenU6BcYrlbA/iGI03t33UbdPn6z3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Atn18baAAAACwEAAA8AAAAAAAAAAQAgAAAAIgAAAGRycy9k&#10;b3ducmV2LnhtbFBLAQIUABQAAAAIAIdO4kBFxpL9qwIAAEQFAAAOAAAAAAAAAAEAIAAAACkBAABk&#10;cnMvZTJvRG9jLnhtbFBLBQYAAAAABgAGAFkBAABGBgAAAAA=&#10;" adj="48237,119016">
                <v:fill on="f" focussize="0,0"/>
                <v:stroke weight="2pt" color="#385D8A [3204]" joinstyle="round"/>
                <v:imagedata o:title=""/>
                <o:lock v:ext="edit" aspectratio="f"/>
                <v:textbox inset="0mm,0mm,0mm,0mm">
                  <w:txbxContent>
                    <w:p>
                      <w:pPr>
                        <w:jc w:val="both"/>
                        <w:rPr>
                          <w:rFonts w:hint="default" w:eastAsia="宋体"/>
                          <w:color w:val="FF0000"/>
                          <w:lang w:val="en-US" w:eastAsia="zh-CN"/>
                        </w:rPr>
                      </w:pPr>
                      <w:r>
                        <w:rPr>
                          <w:rFonts w:hint="eastAsia"/>
                          <w:color w:val="FF0000"/>
                          <w:lang w:val="en-US" w:eastAsia="zh-CN"/>
                        </w:rPr>
                        <w:t>本项目位置</w:t>
                      </w:r>
                    </w:p>
                  </w:txbxContent>
                </v:textbox>
              </v:shape>
            </w:pict>
          </mc:Fallback>
        </mc:AlternateContent>
      </w:r>
      <w:r>
        <w:rPr>
          <w:rFonts w:hint="eastAsia" w:ascii="宋体" w:hAnsi="宋体" w:eastAsia="宋体" w:cs="宋体"/>
          <w:sz w:val="24"/>
        </w:rPr>
        <mc:AlternateContent>
          <mc:Choice Requires="wps">
            <w:drawing>
              <wp:anchor distT="0" distB="0" distL="114300" distR="114300" simplePos="0" relativeHeight="251692032" behindDoc="0" locked="0" layoutInCell="1" allowOverlap="1">
                <wp:simplePos x="0" y="0"/>
                <wp:positionH relativeFrom="column">
                  <wp:posOffset>2163445</wp:posOffset>
                </wp:positionH>
                <wp:positionV relativeFrom="paragraph">
                  <wp:posOffset>2404745</wp:posOffset>
                </wp:positionV>
                <wp:extent cx="1478915" cy="297815"/>
                <wp:effectExtent l="590550" t="0" r="0" b="0"/>
                <wp:wrapNone/>
                <wp:docPr id="53" name="文本框 53"/>
                <wp:cNvGraphicFramePr/>
                <a:graphic xmlns:a="http://schemas.openxmlformats.org/drawingml/2006/main">
                  <a:graphicData uri="http://schemas.microsoft.com/office/word/2010/wordprocessingShape">
                    <wps:wsp>
                      <wps:cNvSpPr txBox="1"/>
                      <wps:spPr>
                        <a:xfrm rot="16500000">
                          <a:off x="0" y="0"/>
                          <a:ext cx="1478915" cy="2978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0000"/>
                                <w:lang w:val="en-US" w:eastAsia="zh-CN"/>
                              </w:rPr>
                            </w:pPr>
                            <w:r>
                              <w:rPr>
                                <w:rFonts w:hint="eastAsia"/>
                                <w:b/>
                                <w:bCs/>
                                <w:color w:val="FF0000"/>
                                <w:lang w:val="en-US" w:eastAsia="zh-CN"/>
                              </w:rPr>
                              <w:t>矿务局总医院门诊搂</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0.35pt;margin-top:189.35pt;height:23.45pt;width:116.45pt;rotation:-5570560f;z-index:251692032;mso-width-relative:page;mso-height-relative:page;" filled="f" stroked="f" coordsize="21600,21600" o:gfxdata="UEsDBAoAAAAAAIdO4kAAAAAAAAAAAAAAAAAEAAAAZHJzL1BLAwQUAAAACACHTuJA500cPNcAAAAL&#10;AQAADwAAAGRycy9kb3ducmV2LnhtbE2PTU/DMAyG70j8h8hI3FjSrV8qTXeYxI0LAySOaeO1FY1T&#10;Nek2+PWYE9xey68eP673VzeJMy5h9KQh2SgQSJ23I/Ua3l6fHkoQIRqyZvKEGr4wwL65valNZf2F&#10;XvB8jL1gCIXKaBhinCspQzegM2HjZyTenfziTORx6aVdzIXhbpJbpXLpzEh8YTAzHgbsPo+r07D7&#10;RvXeps/dIRtOSfGxlmWvgtb3d4l6BBHxGv/K8KvP6tCwU+tXskFMzEhVwVUORcmBG1mxy0G0GtJt&#10;loNsavn/h+YHUEsDBBQAAAAIAIdO4kCG99oHRQIAAHcEAAAOAAAAZHJzL2Uyb0RvYy54bWytVM1u&#10;EzEQviPxDpbvdJM06U/UTRVaFSFVtFJBnB2vt7uS7TG2093yAPAGPXHhznP1OfjsTUJVOPTAHqzx&#10;zOib+b4Z78lpbzS7Uz60ZEs+3htxpqykqrW3Jf/08eLNEWchClsJTVaV/F4Ffrp4/eqkc3M1oYZ0&#10;pTwDiA3zzpW8idHNiyLIRhkR9sgpi2BN3oiIq78tKi86oBtdTEajg6IjXzlPUoUA7/kQ5BtE/xJA&#10;qutWqnOSa6NsHFC90iKCUmhaF/gid1vXSsarug4qMl1yMI35RBHYq3QWixMxv/XCNa3ctCBe0sIz&#10;Tka0FkV3UOciCrb27V9QppWeAtVxT5IpBiJZEbAYj55pc9MIpzIXSB3cTvTw/2Dlh7trz9qq5LN9&#10;zqwwmPjjw/fHH78ef35j8EGgzoU58m4cMmP/lnqszdYf4Ey8+9ob5gn6jg9mo/RlOUCQIR1q3+/U&#10;Vn1kMmFMD4+OxzPOJGKT48Mj2KhWDGAJ1PkQ3ykyLBkl95hmRhV3lyEOqduUlG7potU6T1Rb1pX8&#10;YH82tLGLAFxb1EiUhtaTFftVv+G5ouoeNDMTdB2cvGhR/FKEeC08VgNOPJ54haPWhCK0sThryH/9&#10;lz/lY2KIctZh1UoevqyFV5zp9xazPB5Pp4CN+TKdHU5w8U8jq6cRuzZnhG0e5+6ymfKj3pq1J/MZ&#10;b2yZqiIkrETtkseteRaHB4A3KtVymZOwjU7ES3vjZIIe5FyuI9VtVjrJNGizUQ/7mGe1eTtp4Z/e&#10;c9af/8XiN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OdNHDzXAAAACwEAAA8AAAAAAAAAAQAgAAAA&#10;IgAAAGRycy9kb3ducmV2LnhtbFBLAQIUABQAAAAIAIdO4kCG99oHRQIAAHcEAAAOAAAAAAAAAAEA&#10;IAAAACYBAABkcnMvZTJvRG9jLnhtbFBLBQYAAAAABgAGAFkBAADdBQAAAAA=&#10;">
                <v:fill on="f" focussize="0,0"/>
                <v:stroke on="f" weight="0.5pt"/>
                <v:imagedata o:title=""/>
                <o:lock v:ext="edit" aspectratio="f"/>
                <v:textbox>
                  <w:txbxContent>
                    <w:p>
                      <w:pPr>
                        <w:rPr>
                          <w:rFonts w:hint="default" w:eastAsia="宋体"/>
                          <w:b/>
                          <w:bCs/>
                          <w:color w:val="FF0000"/>
                          <w:lang w:val="en-US" w:eastAsia="zh-CN"/>
                        </w:rPr>
                      </w:pPr>
                      <w:r>
                        <w:rPr>
                          <w:rFonts w:hint="eastAsia"/>
                          <w:b/>
                          <w:bCs/>
                          <w:color w:val="FF0000"/>
                          <w:lang w:val="en-US" w:eastAsia="zh-CN"/>
                        </w:rPr>
                        <w:t>矿务局总医院门诊搂</w:t>
                      </w:r>
                    </w:p>
                  </w:txbxContent>
                </v:textbox>
              </v:shape>
            </w:pict>
          </mc:Fallback>
        </mc:AlternateContent>
      </w:r>
      <w:r>
        <w:rPr>
          <w:rFonts w:hint="eastAsia" w:ascii="宋体" w:hAnsi="宋体" w:eastAsia="宋体" w:cs="宋体"/>
          <w:sz w:val="24"/>
        </w:rPr>
        <mc:AlternateContent>
          <mc:Choice Requires="wps">
            <w:drawing>
              <wp:anchor distT="0" distB="0" distL="114300" distR="114300" simplePos="0" relativeHeight="251691008" behindDoc="0" locked="0" layoutInCell="1" allowOverlap="1">
                <wp:simplePos x="0" y="0"/>
                <wp:positionH relativeFrom="column">
                  <wp:posOffset>3148330</wp:posOffset>
                </wp:positionH>
                <wp:positionV relativeFrom="paragraph">
                  <wp:posOffset>1915795</wp:posOffset>
                </wp:positionV>
                <wp:extent cx="715645" cy="274955"/>
                <wp:effectExtent l="220345" t="0" r="0" b="0"/>
                <wp:wrapNone/>
                <wp:docPr id="51" name="文本框 51"/>
                <wp:cNvGraphicFramePr/>
                <a:graphic xmlns:a="http://schemas.openxmlformats.org/drawingml/2006/main">
                  <a:graphicData uri="http://schemas.microsoft.com/office/word/2010/wordprocessingShape">
                    <wps:wsp>
                      <wps:cNvSpPr txBox="1"/>
                      <wps:spPr>
                        <a:xfrm rot="16500000">
                          <a:off x="0" y="0"/>
                          <a:ext cx="715645" cy="2749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0000"/>
                                <w:lang w:val="en-US" w:eastAsia="zh-CN"/>
                              </w:rPr>
                            </w:pPr>
                            <w:r>
                              <w:rPr>
                                <w:rFonts w:hint="eastAsia"/>
                                <w:b/>
                                <w:bCs/>
                                <w:color w:val="FF0000"/>
                                <w:lang w:val="en-US" w:eastAsia="zh-CN"/>
                              </w:rPr>
                              <w:t>住院部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7.9pt;margin-top:150.85pt;height:21.65pt;width:56.35pt;rotation:-5570560f;z-index:251691008;mso-width-relative:page;mso-height-relative:page;" filled="f" stroked="f" coordsize="21600,21600" o:gfxdata="UEsDBAoAAAAAAIdO4kAAAAAAAAAAAAAAAAAEAAAAZHJzL1BLAwQUAAAACACHTuJAXr2uidcAAAAL&#10;AQAADwAAAGRycy9kb3ducmV2LnhtbE2PwU7DMAyG70i8Q2QkbiwptFspTXeYxI0LY0gc08ZrKhqn&#10;atJt8PSYExxt//r8/fX24kdxwjkOgTRkKwUCqQt2oF7D4e35rgQRkyFrxkCo4QsjbJvrq9pUNpzp&#10;FU/71AuGUKyMBpfSVEkZO4fexFWYkPh2DLM3ice5l3Y2Z4b7Ud4rtZbeDMQfnJlw57D73C9ew8M3&#10;qvc2f+l2hTtmm4+lLHsVtb69ydQTiISX9BeGX31Wh4ad2rCQjWLUkD8WrJ4YprINCE6sVVmAaHmT&#10;FwpkU8v/HZofUEsDBBQAAAAIAIdO4kCu0k72RQIAAHYEAAAOAAAAZHJzL2Uyb0RvYy54bWytVM1u&#10;EzEQviPxDpbvdJOQTWjUTRVaFSFFtFJBnB2vt7uS/7Cd7IYHgDfoiQt3nivPwWdvEqLCoQf2YI1n&#10;Rt/M9814Ly47JclGON8YXdDh2YASobkpG/1Q0E8fb169ocQHpksmjRYF3QpPL+cvX1y0diZGpjay&#10;FI4ARPtZawtah2BnWeZ5LRTzZ8YKjWBlnGIBV/eQlY61QFcyGw0Gk6w1rrTOcOE9vNd9kO4R3XMA&#10;TVU1XFwbvlZChx7VCckCKPm6sZ7OU7dVJXi4rSovApEFBdOQThSBvYpnNr9gswfHbN3wfQvsOS08&#10;4aRYo1H0CHXNAiNr1/wFpRrujDdVOONGZT2RpAhYDAdPtLmvmRWJC6T29ii6/3+w/MPmzpGmLGg+&#10;pEQzhYnvHr/vfvza/fxG4INArfUz5N1bZIburemwNge/hzPy7iqniDPQdzjJB/FLcoAgQTrU3h7V&#10;Fl0gHM7pMJ+Mc0o4QqPp+DzPI2jWY0VM63x4J4wi0SiowzATKNssfehTDykxXZubRso0UKlJW9DJ&#10;67zv4hgBuNSoERn1nUcrdKtuT3Nlyi1YJiJo2lt+06D4kvlwxxw2A068nXCLo5IGRczeoqQ27uu/&#10;/DEfA0OUkhabVlD/Zc2coES+1xjl+XA8BmxIl3E+HeHiTiOr04heqyuDZca00F0yY36QB7NyRn3G&#10;E1vEqggxzVG7oOFgXoV+//FEuVgsUhKW0bKw1PeWR+hezsU6mKpJSkeZem326mEd06z2Tyfu++k9&#10;Zf35Xcx/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F69ronXAAAACwEAAA8AAAAAAAAAAQAgAAAA&#10;IgAAAGRycy9kb3ducmV2LnhtbFBLAQIUABQAAAAIAIdO4kCu0k72RQIAAHYEAAAOAAAAAAAAAAEA&#10;IAAAACYBAABkcnMvZTJvRG9jLnhtbFBLBQYAAAAABgAGAFkBAADdBQAAAAA=&#10;">
                <v:fill on="f" focussize="0,0"/>
                <v:stroke on="f" weight="0.5pt"/>
                <v:imagedata o:title=""/>
                <o:lock v:ext="edit" aspectratio="f"/>
                <v:textbox>
                  <w:txbxContent>
                    <w:p>
                      <w:pPr>
                        <w:rPr>
                          <w:rFonts w:hint="default" w:eastAsia="宋体"/>
                          <w:b/>
                          <w:bCs/>
                          <w:color w:val="FF0000"/>
                          <w:lang w:val="en-US" w:eastAsia="zh-CN"/>
                        </w:rPr>
                      </w:pPr>
                      <w:r>
                        <w:rPr>
                          <w:rFonts w:hint="eastAsia"/>
                          <w:b/>
                          <w:bCs/>
                          <w:color w:val="FF0000"/>
                          <w:lang w:val="en-US" w:eastAsia="zh-CN"/>
                        </w:rPr>
                        <w:t>住院部</w:t>
                      </w:r>
                    </w:p>
                  </w:txbxContent>
                </v:textbox>
              </v:shape>
            </w:pict>
          </mc:Fallback>
        </mc:AlternateContent>
      </w:r>
      <w:r>
        <w:rPr>
          <w:rFonts w:hint="eastAsia" w:ascii="宋体" w:hAnsi="宋体" w:eastAsia="宋体" w:cs="宋体"/>
          <w:sz w:val="24"/>
        </w:rPr>
        <mc:AlternateContent>
          <mc:Choice Requires="wps">
            <w:drawing>
              <wp:anchor distT="0" distB="0" distL="114300" distR="114300" simplePos="0" relativeHeight="251688960" behindDoc="0" locked="0" layoutInCell="1" allowOverlap="1">
                <wp:simplePos x="0" y="0"/>
                <wp:positionH relativeFrom="column">
                  <wp:posOffset>4170045</wp:posOffset>
                </wp:positionH>
                <wp:positionV relativeFrom="paragraph">
                  <wp:posOffset>2583180</wp:posOffset>
                </wp:positionV>
                <wp:extent cx="615315" cy="274955"/>
                <wp:effectExtent l="0" t="0" r="0" b="0"/>
                <wp:wrapNone/>
                <wp:docPr id="48" name="文本框 48"/>
                <wp:cNvGraphicFramePr/>
                <a:graphic xmlns:a="http://schemas.openxmlformats.org/drawingml/2006/main">
                  <a:graphicData uri="http://schemas.microsoft.com/office/word/2010/wordprocessingShape">
                    <wps:wsp>
                      <wps:cNvSpPr txBox="1"/>
                      <wps:spPr>
                        <a:xfrm rot="19920000">
                          <a:off x="0" y="0"/>
                          <a:ext cx="615315" cy="2749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0000"/>
                                <w:lang w:val="en-US" w:eastAsia="zh-CN"/>
                              </w:rPr>
                            </w:pPr>
                            <w:r>
                              <w:rPr>
                                <w:rFonts w:hint="eastAsia"/>
                                <w:b/>
                                <w:bCs/>
                                <w:color w:val="FF0000"/>
                                <w:lang w:val="en-US" w:eastAsia="zh-CN"/>
                              </w:rPr>
                              <w:t>骨科楼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8.35pt;margin-top:203.4pt;height:21.65pt;width:48.45pt;rotation:-1835008f;z-index:251688960;mso-width-relative:page;mso-height-relative:page;" filled="f" stroked="f" coordsize="21600,21600" o:gfxdata="UEsDBAoAAAAAAIdO4kAAAAAAAAAAAAAAAAAEAAAAZHJzL1BLAwQUAAAACACHTuJA1/7uEdoAAAAL&#10;AQAADwAAAGRycy9kb3ducmV2LnhtbE2Py07DMBBF90j8gzVI7Kid0DhViFMJpG5Y9QES7Nx4SCJi&#10;O7LdtPD1DCtYzszRnXPr9cWObMYQB+8UZAsBDF3rzeA6BS+Hzd0KWEzaGT16hwq+MMK6ub6qdWX8&#10;2e1w3qeOUYiLlVbQpzRVnMe2R6vjwk/o6Pbhg9WJxtBxE/SZwu3IcyEkt3pw9KHXEz712H7uT1bB&#10;vHmfzOPr9m0oV7sgv5d2mz/nSt3eZOIBWMJL+oPhV5/UoSGnoz85E9moQBayJFTBUkjqQERZ3Etg&#10;R9oUIgPe1Px/h+YHUEsDBBQAAAAIAIdO4kAwSQxjRAIAAHYEAAAOAAAAZHJzL2Uyb0RvYy54bWyt&#10;VM1uEzEQviPxDpbvZLNp0pKomyo0CkKqaKWAODteb3Yl/2E73S0PAG/AiQt3nivPwWdvEqrCoQcu&#10;1nhm9M1834x9edUpSe6F843RBc0HQ0qE5qZs9LagHz+sXr2mxAemSyaNFgV9EJ5ezV++uGztTIxM&#10;bWQpHAGI9rPWFrQOwc6yzPNaKOYHxgqNYGWcYgFXt81Kx1qgK5mNhsPzrDWutM5w4T28yz5ID4ju&#10;OYCmqhoulobvlNChR3VCsgBKvm6sp/PUbVUJHm6ryotAZEHBNKQTRWBv4pnNL9ls65itG35ogT2n&#10;hSecFGs0ip6gliwwsnPNX1Cq4c54U4UBNyrriSRFwCIfPtFmXTMrEhdI7e1JdP//YPn7+ztHmrKg&#10;Y8xdM4WJ779/2//4tf/5lcAHgVrrZ8hbW2SG7o3psDZHv4cz8u4qp4gz0DefTjHm4TDJAYIE6VD7&#10;4aS26ALhcJ7nk7N8QglHaHQxnk4mETTrsSKmdT68FUaRaBTUYZgJlN3f+NCnHlNiujarRso0UKlJ&#10;iwJnk76LUwTgUqNGZNR3Hq3QbboDzY0pH8AyEUHT3vJVg+I3zIc75rAZcOLthFsclTQoYg4WJbVx&#10;X/7lj/kYGKKUtNi0gvrPO+YEJfKdxiin+XgM2JAu48nFCBf3OLJ5HNE7dW2wzHnqLpkxP8ijWTmj&#10;PuGJLWJVhJjmqF3QcDSvQ7//eKJcLBYpCctoWbjRa8sjdC/nYhdM1SSlo0y9Ngf1sI5pVoenE/f9&#10;8T1l/fku5r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1/7uEdoAAAALAQAADwAAAAAAAAABACAA&#10;AAAiAAAAZHJzL2Rvd25yZXYueG1sUEsBAhQAFAAAAAgAh07iQDBJDGNEAgAAdgQAAA4AAAAAAAAA&#10;AQAgAAAAKQEAAGRycy9lMm9Eb2MueG1sUEsFBgAAAAAGAAYAWQEAAN8FAAAAAA==&#10;">
                <v:fill on="f" focussize="0,0"/>
                <v:stroke on="f" weight="0.5pt"/>
                <v:imagedata o:title=""/>
                <o:lock v:ext="edit" aspectratio="f"/>
                <v:textbox>
                  <w:txbxContent>
                    <w:p>
                      <w:pPr>
                        <w:rPr>
                          <w:rFonts w:hint="default" w:eastAsia="宋体"/>
                          <w:b/>
                          <w:bCs/>
                          <w:color w:val="FF0000"/>
                          <w:lang w:val="en-US" w:eastAsia="zh-CN"/>
                        </w:rPr>
                      </w:pPr>
                      <w:r>
                        <w:rPr>
                          <w:rFonts w:hint="eastAsia"/>
                          <w:b/>
                          <w:bCs/>
                          <w:color w:val="FF0000"/>
                          <w:lang w:val="en-US" w:eastAsia="zh-CN"/>
                        </w:rPr>
                        <w:t>骨科楼</w:t>
                      </w:r>
                    </w:p>
                  </w:txbxContent>
                </v:textbox>
              </v:shape>
            </w:pict>
          </mc:Fallback>
        </mc:AlternateContent>
      </w:r>
      <w:r>
        <w:rPr>
          <w:rFonts w:hint="eastAsia" w:ascii="宋体" w:hAnsi="宋体" w:eastAsia="宋体" w:cs="宋体"/>
          <w:sz w:val="24"/>
        </w:rPr>
        <mc:AlternateContent>
          <mc:Choice Requires="wps">
            <w:drawing>
              <wp:anchor distT="0" distB="0" distL="114300" distR="114300" simplePos="0" relativeHeight="251693056" behindDoc="0" locked="0" layoutInCell="1" allowOverlap="1">
                <wp:simplePos x="0" y="0"/>
                <wp:positionH relativeFrom="column">
                  <wp:posOffset>3801745</wp:posOffset>
                </wp:positionH>
                <wp:positionV relativeFrom="paragraph">
                  <wp:posOffset>3184525</wp:posOffset>
                </wp:positionV>
                <wp:extent cx="1018540" cy="274955"/>
                <wp:effectExtent l="0" t="0" r="0" b="0"/>
                <wp:wrapNone/>
                <wp:docPr id="54" name="文本框 54"/>
                <wp:cNvGraphicFramePr/>
                <a:graphic xmlns:a="http://schemas.openxmlformats.org/drawingml/2006/main">
                  <a:graphicData uri="http://schemas.microsoft.com/office/word/2010/wordprocessingShape">
                    <wps:wsp>
                      <wps:cNvSpPr txBox="1"/>
                      <wps:spPr>
                        <a:xfrm>
                          <a:off x="0" y="0"/>
                          <a:ext cx="1018540" cy="2749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0000"/>
                                <w:lang w:val="en-US" w:eastAsia="zh-CN"/>
                              </w:rPr>
                            </w:pPr>
                            <w:r>
                              <w:rPr>
                                <w:rFonts w:hint="eastAsia"/>
                                <w:b/>
                                <w:bCs/>
                                <w:color w:val="FF0000"/>
                                <w:lang w:val="en-US" w:eastAsia="zh-CN"/>
                              </w:rPr>
                              <w:t>外科楼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9.35pt;margin-top:250.75pt;height:21.65pt;width:80.2pt;z-index:251693056;mso-width-relative:page;mso-height-relative:page;" filled="f" stroked="f" coordsize="21600,21600" o:gfxdata="UEsDBAoAAAAAAIdO4kAAAAAAAAAAAAAAAAAEAAAAZHJzL1BLAwQUAAAACACHTuJAno5tD9sAAAAL&#10;AQAADwAAAGRycy9kb3ducmV2LnhtbE2Py07DMBBF90j8gzVI7KidqqFpiFOhSBUSgkVLN+wmsZtE&#10;xOMQuw/4eoYV7OZxdOdMsb64QZzsFHpPGpKZAmGp8aanVsP+bXOXgQgRyeDgyWr4sgHW5fVVgbnx&#10;Z9ra0y62gkMo5Kihi3HMpQxNZx2GmR8t8e7gJ4eR26mVZsIzh7tBzpW6lw574gsdjrbqbPOxOzoN&#10;z9XmFbf13GXfQ/X0cngcP/fvqda3N4l6ABHtJf7B8KvP6lCyU+2PZIIYNKSrbMkoFypJQTCxTFcJ&#10;iJoni0UGsizk/x/KH1BLAwQUAAAACACHTuJAFtwKXzwCAABoBAAADgAAAGRycy9lMm9Eb2MueG1s&#10;rVTNjtMwEL4j8Q6W7zRpafanaroqWxUhrdiVCuLsOk4TyfYY221SHgDeYE9cuPNcfQ7GTtqtFg57&#10;4OKMPeNv/H0zk+lNqyTZCetq0DkdDlJKhOZQ1HqT08+flm+uKHGe6YJJ0CKne+Hozez1q2ljJmIE&#10;FchCWIIg2k0ak9PKezNJEscroZgbgBEanSVYxTxu7SYpLGsQXclklKYXSQO2MBa4cA5PF52T9oj2&#10;JYBQljUXC+BbJbTvUK2QzCMlV9XG0Vl8bVkK7u/L0glPZE6RqY8rJkF7HdZkNmWTjWWmqnn/BPaS&#10;JzzjpFitMekJasE8I1tb/wWlam7BQekHHFTSEYmKIIth+kybVcWMiFxQamdOorv/B8s/7h4sqYuc&#10;ZmNKNFNY8cPjj8PP34df3wmeoUCNcROMWxmM9O07aLFtjucODwPvtrQqfJERQT/Kuz/JK1pPeLiU&#10;Dq+yMbo4+kaX4+ssCzDJ021jnX8vQJFg5NRi+aKqbHfnfBd6DAnJNCxrKWMJpSZNTi/eZmm8cPIg&#10;uNSYI3Do3hos367bntgaij3ystC1hjN8WWPyO+b8A7PYC/henBZ/j0spAZNAb1FSgf32r/MQjyVC&#10;LyUN9lZO3dcts4IS+UFj8a6H4yCDj5txdjnCjT33rM89eqtuAdt3iHNpeDRDvJdHs7SgvuBQzUNW&#10;dDHNMXdO/dG89V3H41ByMZ/HIGw/w/ydXhkeoDs551sPZR2VDjJ12vTqYQPGWvXDEjr8fB+jnn4Q&#10;s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ejm0P2wAAAAsBAAAPAAAAAAAAAAEAIAAAACIAAABk&#10;cnMvZG93bnJldi54bWxQSwECFAAUAAAACACHTuJAFtwKXzwCAABoBAAADgAAAAAAAAABACAAAAAq&#10;AQAAZHJzL2Uyb0RvYy54bWxQSwUGAAAAAAYABgBZAQAA2AUAAAAA&#10;">
                <v:fill on="f" focussize="0,0"/>
                <v:stroke on="f" weight="0.5pt"/>
                <v:imagedata o:title=""/>
                <o:lock v:ext="edit" aspectratio="f"/>
                <v:textbox>
                  <w:txbxContent>
                    <w:p>
                      <w:pPr>
                        <w:rPr>
                          <w:rFonts w:hint="default" w:eastAsia="宋体"/>
                          <w:b/>
                          <w:bCs/>
                          <w:color w:val="FF0000"/>
                          <w:lang w:val="en-US" w:eastAsia="zh-CN"/>
                        </w:rPr>
                      </w:pPr>
                      <w:r>
                        <w:rPr>
                          <w:rFonts w:hint="eastAsia"/>
                          <w:b/>
                          <w:bCs/>
                          <w:color w:val="FF0000"/>
                          <w:lang w:val="en-US" w:eastAsia="zh-CN"/>
                        </w:rPr>
                        <w:t>外科楼</w:t>
                      </w:r>
                    </w:p>
                  </w:txbxContent>
                </v:textbox>
              </v:shape>
            </w:pict>
          </mc:Fallback>
        </mc:AlternateContent>
      </w:r>
      <w:r>
        <w:rPr>
          <w:rFonts w:hint="eastAsia" w:ascii="宋体" w:hAnsi="宋体" w:eastAsia="宋体" w:cs="宋体"/>
          <w:sz w:val="24"/>
        </w:rPr>
        <mc:AlternateContent>
          <mc:Choice Requires="wps">
            <w:drawing>
              <wp:anchor distT="0" distB="0" distL="114300" distR="114300" simplePos="0" relativeHeight="251694080" behindDoc="0" locked="0" layoutInCell="1" allowOverlap="1">
                <wp:simplePos x="0" y="0"/>
                <wp:positionH relativeFrom="column">
                  <wp:posOffset>3818890</wp:posOffset>
                </wp:positionH>
                <wp:positionV relativeFrom="paragraph">
                  <wp:posOffset>1908810</wp:posOffset>
                </wp:positionV>
                <wp:extent cx="1018540" cy="274955"/>
                <wp:effectExtent l="0" t="0" r="0" b="0"/>
                <wp:wrapNone/>
                <wp:docPr id="58" name="文本框 58"/>
                <wp:cNvGraphicFramePr/>
                <a:graphic xmlns:a="http://schemas.openxmlformats.org/drawingml/2006/main">
                  <a:graphicData uri="http://schemas.microsoft.com/office/word/2010/wordprocessingShape">
                    <wps:wsp>
                      <wps:cNvSpPr txBox="1"/>
                      <wps:spPr>
                        <a:xfrm>
                          <a:off x="0" y="0"/>
                          <a:ext cx="1018540" cy="2749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0000"/>
                                <w:lang w:val="en-US" w:eastAsia="zh-CN"/>
                              </w:rPr>
                            </w:pPr>
                            <w:r>
                              <w:rPr>
                                <w:rFonts w:hint="eastAsia"/>
                                <w:b/>
                                <w:bCs/>
                                <w:color w:val="FF0000"/>
                                <w:lang w:val="en-US" w:eastAsia="zh-CN"/>
                              </w:rPr>
                              <w:t>综合楼（拟建）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0.7pt;margin-top:150.3pt;height:21.65pt;width:80.2pt;z-index:251694080;mso-width-relative:page;mso-height-relative:page;" filled="f" stroked="f" coordsize="21600,21600" o:gfxdata="UEsDBAoAAAAAAIdO4kAAAAAAAAAAAAAAAAAEAAAAZHJzL1BLAwQUAAAACACHTuJAe68SetsAAAAL&#10;AQAADwAAAGRycy9kb3ducmV2LnhtbE2Py07DMBBF90j8gzVI7KidtqQlxKlQpAoJwaKlm+4msZtE&#10;xOMQuw/4eoYVLOfO0X3kq4vrxcmOofOkIZkoEJZqbzpqNOze13dLECEiGew9WQ1fNsCquL7KMTP+&#10;TBt72sZGsAmFDDW0MQ6ZlKFurcMw8YMl/h386DDyOTbSjHhmc9fLqVKpdNgRJ7Q42LK19cf26DS8&#10;lOs33FRTt/zuy+fXw9Pwudvfa317k6hHENFe4h8Mv/W5OhTcqfJHMkH0GlKVzBnVMOMYEEws0oTH&#10;VKzMZw8gi1z+31D8AFBLAwQUAAAACACHTuJAr/FVnjwCAABoBAAADgAAAGRycy9lMm9Eb2MueG1s&#10;rVTNjtMwEL4j8Q6W7zRpafanaroqWxUhrdiVCuLsOk4TyfYY221SHgDeYE9cuPNcfQ7GTtqtFg57&#10;4OKMPeNv/H0zk+lNqyTZCetq0DkdDlJKhOZQ1HqT08+flm+uKHGe6YJJ0CKne+Hozez1q2ljJmIE&#10;FchCWIIg2k0ak9PKezNJEscroZgbgBEanSVYxTxu7SYpLGsQXclklKYXSQO2MBa4cA5PF52T9oj2&#10;JYBQljUXC+BbJbTvUK2QzCMlV9XG0Vl8bVkK7u/L0glPZE6RqY8rJkF7HdZkNmWTjWWmqnn/BPaS&#10;JzzjpFitMekJasE8I1tb/wWlam7BQekHHFTSEYmKIIth+kybVcWMiFxQamdOorv/B8s/7h4sqYuc&#10;Zlh3zRRW/PD44/Dz9+HXd4JnKFBj3ATjVgYjffsOWmyb47nDw8C7La0KX2RE0I/y7k/yitYTHi6l&#10;w6tsjC6OvtHl+DrLAkzydNtY598LUCQYObVYvqgq290534UeQ0IyDctaylhCqUmT04u3WRovnDwI&#10;LjXmCBy6twbLt+u2J7aGYo+8LHSt4Qxf1pj8jjn/wCz2Ar4Xp8Xf41JKwCTQW5RUYL/96zzEY4nQ&#10;S0mDvZVT93XLrKBEftBYvOvhOMjg42acXY5wY88963OP3qpbwPYd4lwaHs0Q7+XRLC2oLzhU85AV&#10;XUxzzJ1TfzRvfdfxOJRczOcxCNvPMH+nV4YH6E7O+dZDWUelg0ydNr162ICxVv2whA4/38eopx/E&#10;7A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7rxJ62wAAAAsBAAAPAAAAAAAAAAEAIAAAACIAAABk&#10;cnMvZG93bnJldi54bWxQSwECFAAUAAAACACHTuJAr/FVnjwCAABoBAAADgAAAAAAAAABACAAAAAq&#10;AQAAZHJzL2Uyb0RvYy54bWxQSwUGAAAAAAYABgBZAQAA2AUAAAAA&#10;">
                <v:fill on="f" focussize="0,0"/>
                <v:stroke on="f" weight="0.5pt"/>
                <v:imagedata o:title=""/>
                <o:lock v:ext="edit" aspectratio="f"/>
                <v:textbox>
                  <w:txbxContent>
                    <w:p>
                      <w:pPr>
                        <w:rPr>
                          <w:rFonts w:hint="default" w:eastAsia="宋体"/>
                          <w:b/>
                          <w:bCs/>
                          <w:color w:val="FF0000"/>
                          <w:lang w:val="en-US" w:eastAsia="zh-CN"/>
                        </w:rPr>
                      </w:pPr>
                      <w:r>
                        <w:rPr>
                          <w:rFonts w:hint="eastAsia"/>
                          <w:b/>
                          <w:bCs/>
                          <w:color w:val="FF0000"/>
                          <w:lang w:val="en-US" w:eastAsia="zh-CN"/>
                        </w:rPr>
                        <w:t>综合楼（拟建）</w:t>
                      </w:r>
                    </w:p>
                  </w:txbxContent>
                </v:textbox>
              </v:shape>
            </w:pict>
          </mc:Fallback>
        </mc:AlternateContent>
      </w:r>
      <w:r>
        <w:rPr>
          <w:rFonts w:hint="eastAsia" w:ascii="宋体" w:hAnsi="宋体" w:eastAsia="宋体" w:cs="宋体"/>
          <w:sz w:val="24"/>
        </w:rPr>
        <mc:AlternateContent>
          <mc:Choice Requires="wps">
            <w:drawing>
              <wp:anchor distT="0" distB="0" distL="114300" distR="114300" simplePos="0" relativeHeight="251687936" behindDoc="0" locked="0" layoutInCell="1" allowOverlap="1">
                <wp:simplePos x="0" y="0"/>
                <wp:positionH relativeFrom="column">
                  <wp:posOffset>3679825</wp:posOffset>
                </wp:positionH>
                <wp:positionV relativeFrom="paragraph">
                  <wp:posOffset>1133475</wp:posOffset>
                </wp:positionV>
                <wp:extent cx="1018540" cy="274955"/>
                <wp:effectExtent l="0" t="0" r="0" b="0"/>
                <wp:wrapNone/>
                <wp:docPr id="45" name="文本框 45"/>
                <wp:cNvGraphicFramePr/>
                <a:graphic xmlns:a="http://schemas.openxmlformats.org/drawingml/2006/main">
                  <a:graphicData uri="http://schemas.microsoft.com/office/word/2010/wordprocessingShape">
                    <wps:wsp>
                      <wps:cNvSpPr txBox="1"/>
                      <wps:spPr>
                        <a:xfrm rot="19920000">
                          <a:off x="4387215" y="3169920"/>
                          <a:ext cx="1018540" cy="2749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0000"/>
                                <w:lang w:val="en-US" w:eastAsia="zh-CN"/>
                              </w:rPr>
                            </w:pPr>
                            <w:r>
                              <w:rPr>
                                <w:rFonts w:hint="eastAsia"/>
                                <w:b/>
                                <w:bCs/>
                                <w:color w:val="FF0000"/>
                                <w:lang w:val="en-US" w:eastAsia="zh-CN"/>
                              </w:rPr>
                              <w:t>急诊医学科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9.75pt;margin-top:89.25pt;height:21.65pt;width:80.2pt;rotation:-1835008f;z-index:251687936;mso-width-relative:page;mso-height-relative:page;" filled="f" stroked="f" coordsize="21600,21600" o:gfxdata="UEsDBAoAAAAAAIdO4kAAAAAAAAAAAAAAAAAEAAAAZHJzL1BLAwQUAAAACACHTuJAz6kJ/NoAAAAL&#10;AQAADwAAAGRycy9kb3ducmV2LnhtbE2PTU/DMAyG70j8h8hI3FjawNYPmk4CaRdO2wAJbllj2orG&#10;qZqsG/x6zAlutt5Hrx9X67MbxIxT6D1pSBcJCKTG255aDS/Pm5scRIiGrBk8oYYvDLCuLy8qU1p/&#10;oh3O+9gKLqFQGg1djGMpZWg6dCYs/IjE2YefnIm8Tq20kzlxuRukSpKVdKYnvtCZER87bD73R6dh&#10;3ryP9uF1+9Zn+W5afd+5rXpSWl9fpck9iIjn+AfDrz6rQ81OB38kG8SgYZkVS0Y5yHIemMhuiwLE&#10;QYNSaQ6yruT/H+ofUEsDBBQAAAAIAIdO4kDfLh80UQIAAIMEAAAOAAAAZHJzL2Uyb0RvYy54bWyt&#10;VEtu2zAQ3RfoHQjuG0mOndiG5cBNkKJA0ARwi65piooE8FeSjpQeoL1BVt1033PlHH2kbDdIu8ii&#10;G2I48zQz781Qi7NeSXInnG+NLmlxlFMiNDdVq29L+unj5ZspJT4wXTFptCjpvfD0bPn61aKzczEy&#10;jZGVcARJtJ93tqRNCHaeZZ43QjF/ZKzQCNbGKRZwdbdZ5ViH7Epmozw/yTrjKusMF97DezEE6S6j&#10;e0lCU9ctFxeGb5XQYcjqhGQBlHzTWk+Xqdu6Fjxc17UXgciSgmlIJ4rA3sQzWy7Y/NYx27R81wJ7&#10;SQvPOCnWahQ9pLpggZGta/9KpVrujDd1OOJGZQORpAhYFPkzbdYNsyJxgdTeHkT3/y8t/3B340hb&#10;lXQ8oUQzhYk/Pnx//PHr8ec3Ah8E6qyfA7e2QIb+remxNnu/hzPy7muniDPQt5jNMOY8T3KAIAF8&#10;fDw9HRUocF/S4+IkIgblRR8Ij/nyYjoZYygciNHpeDZJlbMhcSxgnQ/vhFEkGiV1mGyqwO6ufECT&#10;gO4hEa7NZStlmq7UpCvpyfFkaOkQwRdS48NIb6ARrdBv+h3njanuQTmxQmve8ssWxa+YDzfMYU3g&#10;xEMK1zhqaVDE7CxKGuO+/ssf8ZgeopR0WLuS+i9b5gQl8r3GXGfFOMoQ0mU8OYVQxD2NbJ5G9Fad&#10;G2x2kbpLZsQHuTdrZ9RnvLdVrIoQ0xy1Sxr25nkYHgPeKxerVQJhMy0LV3pteUw9yLnaBlO3Seko&#10;06DNTj3sZhrA7h3F5X96T6g//47l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M+pCfzaAAAACwEA&#10;AA8AAAAAAAAAAQAgAAAAIgAAAGRycy9kb3ducmV2LnhtbFBLAQIUABQAAAAIAIdO4kDfLh80UQIA&#10;AIMEAAAOAAAAAAAAAAEAIAAAACkBAABkcnMvZTJvRG9jLnhtbFBLBQYAAAAABgAGAFkBAADsBQAA&#10;AAA=&#10;">
                <v:fill on="f" focussize="0,0"/>
                <v:stroke on="f" weight="0.5pt"/>
                <v:imagedata o:title=""/>
                <o:lock v:ext="edit" aspectratio="f"/>
                <v:textbox>
                  <w:txbxContent>
                    <w:p>
                      <w:pPr>
                        <w:rPr>
                          <w:rFonts w:hint="default" w:eastAsia="宋体"/>
                          <w:b/>
                          <w:bCs/>
                          <w:color w:val="FF0000"/>
                          <w:lang w:val="en-US" w:eastAsia="zh-CN"/>
                        </w:rPr>
                      </w:pPr>
                      <w:r>
                        <w:rPr>
                          <w:rFonts w:hint="eastAsia"/>
                          <w:b/>
                          <w:bCs/>
                          <w:color w:val="FF0000"/>
                          <w:lang w:val="en-US" w:eastAsia="zh-CN"/>
                        </w:rPr>
                        <w:t>急诊医学科</w:t>
                      </w:r>
                    </w:p>
                  </w:txbxContent>
                </v:textbox>
              </v:shape>
            </w:pict>
          </mc:Fallback>
        </mc:AlternateContent>
      </w:r>
      <w:r>
        <w:rPr>
          <w:rFonts w:hint="eastAsia" w:ascii="宋体" w:hAnsi="宋体" w:eastAsia="宋体" w:cs="宋体"/>
          <w:sz w:val="24"/>
        </w:rPr>
        <mc:AlternateContent>
          <mc:Choice Requires="wps">
            <w:drawing>
              <wp:anchor distT="0" distB="0" distL="114300" distR="114300" simplePos="0" relativeHeight="251689984" behindDoc="0" locked="0" layoutInCell="1" allowOverlap="1">
                <wp:simplePos x="0" y="0"/>
                <wp:positionH relativeFrom="column">
                  <wp:posOffset>4686300</wp:posOffset>
                </wp:positionH>
                <wp:positionV relativeFrom="paragraph">
                  <wp:posOffset>1612900</wp:posOffset>
                </wp:positionV>
                <wp:extent cx="1018540" cy="274955"/>
                <wp:effectExtent l="372110" t="0" r="0" b="0"/>
                <wp:wrapNone/>
                <wp:docPr id="50" name="文本框 50"/>
                <wp:cNvGraphicFramePr/>
                <a:graphic xmlns:a="http://schemas.openxmlformats.org/drawingml/2006/main">
                  <a:graphicData uri="http://schemas.microsoft.com/office/word/2010/wordprocessingShape">
                    <wps:wsp>
                      <wps:cNvSpPr txBox="1"/>
                      <wps:spPr>
                        <a:xfrm rot="3480000">
                          <a:off x="0" y="0"/>
                          <a:ext cx="1018540" cy="2749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0000"/>
                                <w:lang w:val="en-US" w:eastAsia="zh-CN"/>
                              </w:rPr>
                            </w:pPr>
                            <w:r>
                              <w:rPr>
                                <w:rFonts w:hint="eastAsia"/>
                                <w:b/>
                                <w:bCs/>
                                <w:color w:val="FF0000"/>
                                <w:lang w:val="en-US" w:eastAsia="zh-CN"/>
                              </w:rPr>
                              <w:t>内科楼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9pt;margin-top:127pt;height:21.65pt;width:80.2pt;rotation:3801088f;z-index:251689984;mso-width-relative:page;mso-height-relative:page;" filled="f" stroked="f" coordsize="21600,21600" o:gfxdata="UEsDBAoAAAAAAIdO4kAAAAAAAAAAAAAAAAAEAAAAZHJzL1BLAwQUAAAACACHTuJAKkQXMdsAAAAL&#10;AQAADwAAAGRycy9kb3ducmV2LnhtbE2PzU7DMBCE70i8g7VI3KjTtFA3xOkBCS4VQhQ4cHPjzY8a&#10;r0PsJOXtWU5w290ZzX6T786uExMOofWkYblIQCCV3rZUa3h/e7xRIEI0ZE3nCTV8Y4BdcXmRm8z6&#10;mV5xOsRacAiFzGhoYuwzKUPZoDNh4Xsk1io/OBN5HWppBzNzuOtkmiR30pmW+ENjenxosDwdRqdh&#10;/iBVje7rM7bP82n/lFb78WXS+vpqmdyDiHiOf2b4xWd0KJjp6EeyQXQaNivFXaKG9HbNAzvUVq1B&#10;HPmy3axAFrn836H4AVBLAwQUAAAACACHTuJAFE+wykICAAB2BAAADgAAAGRycy9lMm9Eb2MueG1s&#10;rVTBbhMxEL0j8Q+W73STNGnTqJsqtCpCqmilgjg7Xm93JdtjbKe75QPgDzhx4c539Tt49ialFA49&#10;sAdrPDN6M+/NeI9PeqPZrfKhJVvy8d6IM2UlVa29KfmH9+ev5pyFKGwlNFlV8jsV+Mny5Yvjzi3U&#10;hBrSlfIMIDYsOlfyJka3KIogG2VE2COnLII1eSMirv6mqLzogG50MRmNDoqOfOU8SRUCvGdDkG8R&#10;/XMAqa5bqc5IboyycUD1SosISqFpXeDL3G1dKxkv6zqoyHTJwTTmE0Vgr9NZLI/F4sYL17Ry24J4&#10;TgtPOBnRWhR9gDoTUbCNb/+CMq30FKiOe5JMMRDJioDFePREm+tGOJW5QOrgHkQP/w9Wvru98qyt&#10;Sj6DJFYYTPz+29f77z/vf3xh8EGgzoUF8q4dMmP/mnqszc4f4Ey8+9ob5gn67k/nI3xZDfBjyAby&#10;3YPYqo9MJojReD6bIiQRmxxOj2azBFoMWAnT+RDfKDIsGSX3GGZGFbcXIQ6pu5SUbum81ToPVFvW&#10;lfxgH/3/EQG4tqiRGA2dJyv2635Lc03VHVhmImgtOHneoviFCPFKeGwGnHg78RJHrQlFaGtx1pD/&#10;/C9/ysfAEOWsw6aVPHzaCK84028tRnk0niYZYr5MZ4cTXPzjyPpxxG7MKWGZx7m7bKb8qHdm7cl8&#10;xBNbpaoICStRu+RxZ57GYf/xRKVarXISltGJeGGvnUzQg2irTaS6zUonmQZttuphHfOstk8n7fvj&#10;e876/btY/g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qRBcx2wAAAAsBAAAPAAAAAAAAAAEAIAAA&#10;ACIAAABkcnMvZG93bnJldi54bWxQSwECFAAUAAAACACHTuJAFE+wykICAAB2BAAADgAAAAAAAAAB&#10;ACAAAAAqAQAAZHJzL2Uyb0RvYy54bWxQSwUGAAAAAAYABgBZAQAA3gUAAAAA&#10;">
                <v:fill on="f" focussize="0,0"/>
                <v:stroke on="f" weight="0.5pt"/>
                <v:imagedata o:title=""/>
                <o:lock v:ext="edit" aspectratio="f"/>
                <v:textbox>
                  <w:txbxContent>
                    <w:p>
                      <w:pPr>
                        <w:rPr>
                          <w:rFonts w:hint="default" w:eastAsia="宋体"/>
                          <w:b/>
                          <w:bCs/>
                          <w:color w:val="FF0000"/>
                          <w:lang w:val="en-US" w:eastAsia="zh-CN"/>
                        </w:rPr>
                      </w:pPr>
                      <w:r>
                        <w:rPr>
                          <w:rFonts w:hint="eastAsia"/>
                          <w:b/>
                          <w:bCs/>
                          <w:color w:val="FF0000"/>
                          <w:lang w:val="en-US" w:eastAsia="zh-CN"/>
                        </w:rPr>
                        <w:t>内科楼</w:t>
                      </w:r>
                    </w:p>
                  </w:txbxContent>
                </v:textbox>
              </v:shape>
            </w:pict>
          </mc:Fallback>
        </mc:AlternateContent>
      </w:r>
      <w:r>
        <w:rPr>
          <w:rFonts w:hint="eastAsia" w:ascii="宋体" w:hAnsi="宋体" w:eastAsia="宋体" w:cs="宋体"/>
        </w:rPr>
        <w:drawing>
          <wp:inline distT="0" distB="0" distL="114300" distR="114300">
            <wp:extent cx="6456680" cy="4785360"/>
            <wp:effectExtent l="0" t="0" r="1270" b="15240"/>
            <wp:docPr id="112"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49"/>
                    <pic:cNvPicPr>
                      <a:picLocks noChangeAspect="1"/>
                    </pic:cNvPicPr>
                  </pic:nvPicPr>
                  <pic:blipFill>
                    <a:blip r:embed="rId114"/>
                    <a:stretch>
                      <a:fillRect/>
                    </a:stretch>
                  </pic:blipFill>
                  <pic:spPr>
                    <a:xfrm>
                      <a:off x="0" y="0"/>
                      <a:ext cx="6456680" cy="4785360"/>
                    </a:xfrm>
                    <a:prstGeom prst="rect">
                      <a:avLst/>
                    </a:prstGeom>
                    <a:noFill/>
                    <a:ln>
                      <a:noFill/>
                    </a:ln>
                  </pic:spPr>
                </pic:pic>
              </a:graphicData>
            </a:graphic>
          </wp:inline>
        </w:drawing>
      </w:r>
      <w:bookmarkEnd w:id="37"/>
      <w:bookmarkStart w:id="38" w:name="_Toc18968"/>
      <w:bookmarkStart w:id="39" w:name="_Toc31216"/>
      <w:bookmarkStart w:id="40" w:name="_Toc12292"/>
      <w:bookmarkStart w:id="41" w:name="_Toc68939067"/>
      <w:bookmarkStart w:id="42" w:name="_Toc26943"/>
      <w:r>
        <w:rPr>
          <w:rFonts w:hint="eastAsia" w:ascii="宋体" w:hAnsi="宋体" w:eastAsia="宋体" w:cs="宋体"/>
          <w:b/>
          <w:color w:val="0000FF"/>
          <w:sz w:val="24"/>
          <w:szCs w:val="24"/>
          <w:highlight w:val="none"/>
          <w:lang w:val="en-US" w:eastAsia="zh-CN"/>
        </w:rPr>
        <w:br w:type="page"/>
      </w:r>
    </w:p>
    <w:bookmarkEnd w:id="38"/>
    <w:bookmarkEnd w:id="39"/>
    <w:bookmarkEnd w:id="40"/>
    <w:bookmarkEnd w:id="41"/>
    <w:p>
      <w:pPr>
        <w:pStyle w:val="2"/>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宋体" w:hAnsi="宋体" w:eastAsia="宋体" w:cs="宋体"/>
          <w:b/>
          <w:color w:val="auto"/>
          <w:sz w:val="28"/>
          <w:szCs w:val="28"/>
          <w:highlight w:val="none"/>
          <w:lang w:val="en-US" w:eastAsia="zh-CN"/>
        </w:rPr>
      </w:pPr>
      <w:bookmarkStart w:id="43" w:name="_Toc68939068"/>
      <w:r>
        <w:rPr>
          <w:rFonts w:hint="eastAsia" w:ascii="宋体" w:hAnsi="宋体" w:eastAsia="宋体" w:cs="宋体"/>
          <w:b/>
          <w:color w:val="auto"/>
          <w:sz w:val="28"/>
          <w:szCs w:val="28"/>
          <w:highlight w:val="none"/>
          <w:lang w:val="en-US" w:eastAsia="zh-CN"/>
        </w:rPr>
        <w:t>附图3 加速器机房平面布置图</w:t>
      </w:r>
      <w:bookmarkEnd w:id="42"/>
      <w:bookmarkEnd w:id="43"/>
      <w:bookmarkStart w:id="44" w:name="_Toc68939070"/>
    </w:p>
    <w:p>
      <w:pPr>
        <w:jc w:val="center"/>
        <w:rPr>
          <w:rFonts w:hint="eastAsia" w:ascii="宋体" w:hAnsi="宋体" w:eastAsia="宋体" w:cs="宋体"/>
          <w:b/>
          <w:color w:val="0000FF"/>
          <w:sz w:val="24"/>
          <w:szCs w:val="24"/>
          <w:highlight w:val="none"/>
          <w:lang w:val="en-US" w:eastAsia="zh-CN"/>
        </w:rPr>
      </w:pPr>
      <w:bookmarkStart w:id="45" w:name="_Toc14471"/>
      <w:r>
        <w:rPr>
          <w:rFonts w:hint="eastAsia" w:ascii="宋体" w:hAnsi="宋体" w:eastAsia="宋体" w:cs="宋体"/>
          <w:b/>
          <w:color w:val="0000FF"/>
          <w:sz w:val="24"/>
          <w:szCs w:val="24"/>
          <w:highlight w:val="none"/>
          <w:lang w:val="en-US" w:eastAsia="zh-CN"/>
        </w:rPr>
        <w:drawing>
          <wp:anchor distT="0" distB="0" distL="114300" distR="114300" simplePos="0" relativeHeight="251670528" behindDoc="0" locked="0" layoutInCell="1" allowOverlap="1">
            <wp:simplePos x="0" y="0"/>
            <wp:positionH relativeFrom="column">
              <wp:posOffset>7082155</wp:posOffset>
            </wp:positionH>
            <wp:positionV relativeFrom="paragraph">
              <wp:posOffset>495300</wp:posOffset>
            </wp:positionV>
            <wp:extent cx="561975" cy="704850"/>
            <wp:effectExtent l="160655" t="98425" r="161290" b="111125"/>
            <wp:wrapNone/>
            <wp:docPr id="95"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1"/>
                    <pic:cNvPicPr>
                      <a:picLocks noChangeAspect="1"/>
                    </pic:cNvPicPr>
                  </pic:nvPicPr>
                  <pic:blipFill>
                    <a:blip r:embed="rId18"/>
                    <a:stretch>
                      <a:fillRect/>
                    </a:stretch>
                  </pic:blipFill>
                  <pic:spPr>
                    <a:xfrm rot="2400000">
                      <a:off x="0" y="0"/>
                      <a:ext cx="561975" cy="704850"/>
                    </a:xfrm>
                    <a:prstGeom prst="rect">
                      <a:avLst/>
                    </a:prstGeom>
                    <a:noFill/>
                    <a:ln>
                      <a:noFill/>
                    </a:ln>
                  </pic:spPr>
                </pic:pic>
              </a:graphicData>
            </a:graphic>
          </wp:anchor>
        </w:drawing>
      </w:r>
      <w:r>
        <w:rPr>
          <w:rFonts w:hint="eastAsia" w:ascii="宋体" w:hAnsi="宋体" w:eastAsia="宋体" w:cs="宋体"/>
        </w:rPr>
        <w:drawing>
          <wp:inline distT="0" distB="0" distL="114300" distR="114300">
            <wp:extent cx="6235065" cy="4436110"/>
            <wp:effectExtent l="0" t="0" r="13335" b="13970"/>
            <wp:docPr id="113"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50"/>
                    <pic:cNvPicPr>
                      <a:picLocks noChangeAspect="1"/>
                    </pic:cNvPicPr>
                  </pic:nvPicPr>
                  <pic:blipFill>
                    <a:blip r:embed="rId115"/>
                    <a:stretch>
                      <a:fillRect/>
                    </a:stretch>
                  </pic:blipFill>
                  <pic:spPr>
                    <a:xfrm>
                      <a:off x="0" y="0"/>
                      <a:ext cx="6235065" cy="4436110"/>
                    </a:xfrm>
                    <a:prstGeom prst="rect">
                      <a:avLst/>
                    </a:prstGeom>
                    <a:noFill/>
                    <a:ln>
                      <a:noFill/>
                    </a:ln>
                  </pic:spPr>
                </pic:pic>
              </a:graphicData>
            </a:graphic>
          </wp:inline>
        </w:drawing>
      </w:r>
    </w:p>
    <w:p>
      <w:pPr>
        <w:pStyle w:val="2"/>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宋体" w:hAnsi="宋体" w:eastAsia="宋体" w:cs="宋体"/>
          <w:b/>
          <w:color w:val="auto"/>
          <w:sz w:val="28"/>
          <w:szCs w:val="28"/>
          <w:highlight w:val="none"/>
          <w:lang w:val="en-US" w:eastAsia="zh-CN"/>
        </w:rPr>
      </w:pPr>
      <w:r>
        <w:rPr>
          <w:rFonts w:hint="eastAsia" w:ascii="宋体" w:hAnsi="宋体" w:eastAsia="宋体" w:cs="宋体"/>
          <w:b/>
          <w:color w:val="auto"/>
          <w:sz w:val="28"/>
          <w:szCs w:val="28"/>
          <w:highlight w:val="none"/>
          <w:lang w:val="en-US" w:eastAsia="zh-CN"/>
        </w:rPr>
        <w:t>附图4加速器机房剖面图</w:t>
      </w:r>
      <w:bookmarkEnd w:id="44"/>
      <w:bookmarkEnd w:id="45"/>
    </w:p>
    <w:p>
      <w:pPr>
        <w:pStyle w:val="25"/>
        <w:jc w:val="center"/>
        <w:rPr>
          <w:rFonts w:hint="eastAsia" w:ascii="宋体" w:hAnsi="宋体" w:eastAsia="宋体" w:cs="宋体"/>
          <w:color w:val="0000FF"/>
          <w:highlight w:val="none"/>
        </w:rPr>
      </w:pPr>
      <w:bookmarkStart w:id="46" w:name="_Toc8030697"/>
      <w:bookmarkEnd w:id="46"/>
      <w:r>
        <w:rPr>
          <w:rFonts w:hint="eastAsia" w:ascii="宋体" w:hAnsi="宋体" w:eastAsia="宋体" w:cs="宋体"/>
          <w:highlight w:val="none"/>
        </w:rPr>
        <w:drawing>
          <wp:inline distT="0" distB="0" distL="114300" distR="114300">
            <wp:extent cx="4464050" cy="2495550"/>
            <wp:effectExtent l="0" t="0" r="12700" b="0"/>
            <wp:docPr id="34"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71"/>
                    <pic:cNvPicPr>
                      <a:picLocks noChangeAspect="1"/>
                    </pic:cNvPicPr>
                  </pic:nvPicPr>
                  <pic:blipFill>
                    <a:blip r:embed="rId116"/>
                    <a:stretch>
                      <a:fillRect/>
                    </a:stretch>
                  </pic:blipFill>
                  <pic:spPr>
                    <a:xfrm>
                      <a:off x="0" y="0"/>
                      <a:ext cx="4464050" cy="2495550"/>
                    </a:xfrm>
                    <a:prstGeom prst="rect">
                      <a:avLst/>
                    </a:prstGeom>
                    <a:noFill/>
                    <a:ln>
                      <a:noFill/>
                    </a:ln>
                  </pic:spPr>
                </pic:pic>
              </a:graphicData>
            </a:graphic>
          </wp:inline>
        </w:drawing>
      </w:r>
      <w:r>
        <w:rPr>
          <w:rFonts w:hint="eastAsia" w:ascii="宋体" w:hAnsi="宋体" w:eastAsia="宋体" w:cs="宋体"/>
          <w:highlight w:val="none"/>
        </w:rPr>
        <w:drawing>
          <wp:inline distT="0" distB="0" distL="114300" distR="114300">
            <wp:extent cx="4378960" cy="2458720"/>
            <wp:effectExtent l="0" t="0" r="2540" b="17780"/>
            <wp:docPr id="35"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72"/>
                    <pic:cNvPicPr>
                      <a:picLocks noChangeAspect="1"/>
                    </pic:cNvPicPr>
                  </pic:nvPicPr>
                  <pic:blipFill>
                    <a:blip r:embed="rId117"/>
                    <a:stretch>
                      <a:fillRect/>
                    </a:stretch>
                  </pic:blipFill>
                  <pic:spPr>
                    <a:xfrm>
                      <a:off x="0" y="0"/>
                      <a:ext cx="4378960" cy="2458720"/>
                    </a:xfrm>
                    <a:prstGeom prst="rect">
                      <a:avLst/>
                    </a:prstGeom>
                    <a:noFill/>
                    <a:ln>
                      <a:noFill/>
                    </a:ln>
                  </pic:spPr>
                </pic:pic>
              </a:graphicData>
            </a:graphic>
          </wp:inline>
        </w:drawing>
      </w:r>
    </w:p>
    <w:p>
      <w:pPr>
        <w:rPr>
          <w:rFonts w:hint="eastAsia" w:ascii="宋体" w:hAnsi="宋体" w:eastAsia="宋体" w:cs="宋体"/>
          <w:b/>
          <w:color w:val="0000FF"/>
          <w:sz w:val="24"/>
          <w:szCs w:val="24"/>
          <w:highlight w:val="none"/>
          <w:lang w:val="en-US" w:eastAsia="zh-CN"/>
        </w:rPr>
      </w:pPr>
      <w:bookmarkStart w:id="47" w:name="_Toc11604"/>
      <w:r>
        <w:rPr>
          <w:rFonts w:hint="eastAsia" w:ascii="宋体" w:hAnsi="宋体" w:eastAsia="宋体" w:cs="宋体"/>
          <w:b/>
          <w:color w:val="0000FF"/>
          <w:sz w:val="24"/>
          <w:szCs w:val="24"/>
          <w:highlight w:val="none"/>
          <w:lang w:val="en-US" w:eastAsia="zh-CN"/>
        </w:rPr>
        <w:br w:type="page"/>
      </w:r>
    </w:p>
    <w:p>
      <w:pPr>
        <w:pStyle w:val="2"/>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宋体" w:hAnsi="宋体" w:eastAsia="宋体" w:cs="宋体"/>
          <w:b/>
          <w:color w:val="auto"/>
          <w:sz w:val="28"/>
          <w:szCs w:val="28"/>
          <w:highlight w:val="none"/>
          <w:lang w:val="en-US" w:eastAsia="zh-CN"/>
        </w:rPr>
      </w:pPr>
      <w:r>
        <w:rPr>
          <w:rFonts w:hint="eastAsia" w:ascii="宋体" w:hAnsi="宋体" w:eastAsia="宋体" w:cs="宋体"/>
          <w:b/>
          <w:color w:val="auto"/>
          <w:sz w:val="28"/>
          <w:szCs w:val="28"/>
          <w:highlight w:val="none"/>
          <w:lang w:val="en-US" w:eastAsia="zh-CN"/>
        </w:rPr>
        <w:t>附图5 机房急停按钮设计图</w:t>
      </w:r>
      <w:bookmarkEnd w:id="47"/>
    </w:p>
    <w:p>
      <w:pPr>
        <w:pStyle w:val="25"/>
        <w:rPr>
          <w:rFonts w:hint="eastAsia" w:ascii="宋体" w:hAnsi="宋体" w:eastAsia="宋体" w:cs="宋体"/>
        </w:rPr>
      </w:pPr>
      <w:r>
        <w:rPr>
          <w:rFonts w:hint="eastAsia" w:ascii="宋体" w:hAnsi="宋体" w:eastAsia="宋体" w:cs="宋体"/>
        </w:rPr>
        <w:drawing>
          <wp:inline distT="0" distB="0" distL="114300" distR="114300">
            <wp:extent cx="7957185" cy="4762500"/>
            <wp:effectExtent l="0" t="0" r="5715" b="0"/>
            <wp:docPr id="38"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74"/>
                    <pic:cNvPicPr>
                      <a:picLocks noChangeAspect="1"/>
                    </pic:cNvPicPr>
                  </pic:nvPicPr>
                  <pic:blipFill>
                    <a:blip r:embed="rId118"/>
                    <a:stretch>
                      <a:fillRect/>
                    </a:stretch>
                  </pic:blipFill>
                  <pic:spPr>
                    <a:xfrm>
                      <a:off x="0" y="0"/>
                      <a:ext cx="7957185" cy="4762500"/>
                    </a:xfrm>
                    <a:prstGeom prst="rect">
                      <a:avLst/>
                    </a:prstGeom>
                    <a:noFill/>
                    <a:ln>
                      <a:noFill/>
                    </a:ln>
                  </pic:spPr>
                </pic:pic>
              </a:graphicData>
            </a:graphic>
          </wp:inline>
        </w:drawing>
      </w:r>
      <w:r>
        <w:rPr>
          <w:rFonts w:hint="eastAsia" w:ascii="宋体" w:hAnsi="宋体" w:eastAsia="宋体" w:cs="宋体"/>
        </w:rPr>
        <w:br w:type="page"/>
      </w:r>
    </w:p>
    <w:p>
      <w:pPr>
        <w:pStyle w:val="2"/>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宋体" w:hAnsi="宋体" w:eastAsia="宋体" w:cs="宋体"/>
          <w:b/>
          <w:color w:val="auto"/>
          <w:sz w:val="28"/>
          <w:szCs w:val="28"/>
          <w:highlight w:val="none"/>
          <w:lang w:val="en-US" w:eastAsia="zh-CN"/>
        </w:rPr>
      </w:pPr>
      <w:r>
        <w:rPr>
          <w:rFonts w:hint="eastAsia" w:ascii="宋体" w:hAnsi="宋体" w:eastAsia="宋体" w:cs="宋体"/>
          <w:b/>
          <w:color w:val="auto"/>
          <w:sz w:val="28"/>
          <w:szCs w:val="28"/>
          <w:highlight w:val="none"/>
          <w:lang w:val="en-US" w:eastAsia="zh-CN"/>
        </w:rPr>
        <w:t>附图6 机房通风系统设计图</w:t>
      </w:r>
    </w:p>
    <w:p>
      <w:pPr>
        <w:jc w:val="center"/>
        <w:rPr>
          <w:rFonts w:hint="eastAsia" w:ascii="宋体" w:hAnsi="宋体" w:eastAsia="宋体" w:cs="宋体"/>
        </w:rPr>
        <w:sectPr>
          <w:pgSz w:w="16839" w:h="11907"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ascii="宋体" w:hAnsi="宋体" w:eastAsia="宋体" w:cs="宋体"/>
        </w:rPr>
        <w:drawing>
          <wp:inline distT="0" distB="0" distL="114300" distR="114300">
            <wp:extent cx="4478020" cy="4728845"/>
            <wp:effectExtent l="0" t="0" r="17780" b="14605"/>
            <wp:docPr id="39"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75"/>
                    <pic:cNvPicPr>
                      <a:picLocks noChangeAspect="1"/>
                    </pic:cNvPicPr>
                  </pic:nvPicPr>
                  <pic:blipFill>
                    <a:blip r:embed="rId119"/>
                    <a:stretch>
                      <a:fillRect/>
                    </a:stretch>
                  </pic:blipFill>
                  <pic:spPr>
                    <a:xfrm>
                      <a:off x="0" y="0"/>
                      <a:ext cx="4478020" cy="4728845"/>
                    </a:xfrm>
                    <a:prstGeom prst="rect">
                      <a:avLst/>
                    </a:prstGeom>
                    <a:noFill/>
                    <a:ln>
                      <a:noFill/>
                    </a:ln>
                  </pic:spPr>
                </pic:pic>
              </a:graphicData>
            </a:graphic>
          </wp:inline>
        </w:drawing>
      </w:r>
    </w:p>
    <w:p>
      <w:pPr>
        <w:pStyle w:val="2"/>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宋体" w:hAnsi="宋体" w:eastAsia="宋体" w:cs="宋体"/>
          <w:b/>
          <w:color w:val="auto"/>
          <w:sz w:val="28"/>
          <w:szCs w:val="28"/>
          <w:highlight w:val="none"/>
          <w:lang w:val="en-US" w:eastAsia="zh-CN"/>
        </w:rPr>
      </w:pPr>
      <w:r>
        <w:rPr>
          <w:rFonts w:hint="eastAsia" w:ascii="宋体" w:hAnsi="宋体" w:eastAsia="宋体" w:cs="宋体"/>
          <w:b/>
          <w:color w:val="auto"/>
          <w:sz w:val="28"/>
          <w:szCs w:val="28"/>
          <w:highlight w:val="none"/>
          <w:lang w:val="en-US" w:eastAsia="zh-CN"/>
        </w:rPr>
        <w:t>附图7 加速器所在建筑整体平面布置图</w:t>
      </w:r>
    </w:p>
    <w:p>
      <w:pPr>
        <w:jc w:val="both"/>
        <w:rPr>
          <w:rFonts w:hint="eastAsia" w:ascii="宋体" w:hAnsi="宋体" w:eastAsia="宋体" w:cs="宋体"/>
          <w:lang w:val="en-US" w:eastAsia="zh-CN"/>
        </w:rPr>
      </w:pPr>
      <w:r>
        <w:rPr>
          <w:rFonts w:hint="eastAsia" w:ascii="宋体" w:hAnsi="宋体" w:eastAsia="宋体" w:cs="宋体"/>
        </w:rPr>
        <w:drawing>
          <wp:inline distT="0" distB="0" distL="114300" distR="114300">
            <wp:extent cx="9551035" cy="4959350"/>
            <wp:effectExtent l="0" t="0" r="4445" b="8890"/>
            <wp:docPr id="33"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48"/>
                    <pic:cNvPicPr>
                      <a:picLocks noChangeAspect="1"/>
                    </pic:cNvPicPr>
                  </pic:nvPicPr>
                  <pic:blipFill>
                    <a:blip r:embed="rId120"/>
                    <a:srcRect r="6075"/>
                    <a:stretch>
                      <a:fillRect/>
                    </a:stretch>
                  </pic:blipFill>
                  <pic:spPr>
                    <a:xfrm>
                      <a:off x="0" y="0"/>
                      <a:ext cx="9551035" cy="4959350"/>
                    </a:xfrm>
                    <a:prstGeom prst="rect">
                      <a:avLst/>
                    </a:prstGeom>
                    <a:noFill/>
                    <a:ln>
                      <a:noFill/>
                    </a:ln>
                  </pic:spPr>
                </pic:pic>
              </a:graphicData>
            </a:graphic>
          </wp:inline>
        </w:drawing>
      </w:r>
    </w:p>
    <w:sectPr>
      <w:pgSz w:w="16839" w:h="11907" w:orient="landscape"/>
      <w:pgMar w:top="1440" w:right="1080" w:bottom="1440" w:left="1080" w:header="851" w:footer="992" w:gutter="0"/>
      <w:pgBorders>
        <w:top w:val="none" w:sz="0" w:space="0"/>
        <w:left w:val="none" w:sz="0" w:space="0"/>
        <w:bottom w:val="none" w:sz="0" w:space="0"/>
        <w:right w:val="none" w:sz="0" w:space="0"/>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_GB2312">
    <w:altName w:val="仿宋"/>
    <w:panose1 w:val="02010609030101010101"/>
    <w:charset w:val="86"/>
    <w:family w:val="modern"/>
    <w:pitch w:val="default"/>
    <w:sig w:usb0="00000000" w:usb1="00000000" w:usb2="00000000" w:usb3="00000000" w:csb0="00040000" w:csb1="00000000"/>
  </w:font>
  <w:font w:name="Wingdings 2">
    <w:panose1 w:val="05020102010507070707"/>
    <w:charset w:val="00"/>
    <w:family w:val="auto"/>
    <w:pitch w:val="default"/>
    <w:sig w:usb0="00000000" w:usb1="00000000" w:usb2="00000000" w:usb3="00000000" w:csb0="80000000"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0586829"/>
      <w:showingPlcHdr/>
    </w:sdtPr>
    <w:sdtContent>
      <w:p>
        <w:pPr>
          <w:pStyle w:val="10"/>
          <w:jc w:val="center"/>
        </w:pPr>
        <w:r>
          <w:t xml:space="preserve">     </w:t>
        </w:r>
      </w:p>
    </w:sdtContent>
  </w:sdt>
  <w:p>
    <w:pPr>
      <w:pStyle w:val="1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3038449"/>
    </w:sdtPr>
    <w:sdtContent>
      <w:p>
        <w:pPr>
          <w:pStyle w:val="10"/>
          <w:jc w:val="center"/>
        </w:pPr>
        <w:r>
          <w:fldChar w:fldCharType="begin"/>
        </w:r>
        <w:r>
          <w:instrText xml:space="preserve"> PAGE   \* MERGEFORMAT </w:instrText>
        </w:r>
        <w:r>
          <w:fldChar w:fldCharType="separate"/>
        </w:r>
        <w:r>
          <w:rPr>
            <w:lang w:val="zh-CN"/>
          </w:rPr>
          <w:t>29</w:t>
        </w:r>
        <w:r>
          <w:rPr>
            <w:lang w:val="zh-CN"/>
          </w:rPr>
          <w:fldChar w:fldCharType="end"/>
        </w:r>
      </w:p>
    </w:sdtContent>
  </w:sdt>
  <w:p>
    <w:pPr>
      <w:pStyle w:val="1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right="360"/>
    </w:pPr>
    <w: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73"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0"/>
                          </w:pPr>
                          <w:r>
                            <w:fldChar w:fldCharType="begin"/>
                          </w:r>
                          <w:r>
                            <w:instrText xml:space="preserve"> PAGE  \* MERGEFORMAT </w:instrText>
                          </w:r>
                          <w:r>
                            <w:fldChar w:fldCharType="separate"/>
                          </w:r>
                          <w:r>
                            <w:t>30</w:t>
                          </w:r>
                          <w:r>
                            <w:fldChar w:fldCharType="end"/>
                          </w:r>
                        </w:p>
                      </w:txbxContent>
                    </wps:txbx>
                    <wps:bodyPr wrap="none" lIns="0" tIns="0" rIns="0" bIns="0" upright="1">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vSyQgckBAACaAwAADgAAAGRycy9lMm9Eb2MueG1srVPNjtMwEL4j8Q6W&#10;79RpkaCKmq5A1SIkBEjLPoDr2I0l/8njNukLwBtw4sKd5+pzMHaSLiyXPXBxxjPjb75vZrK5Gawh&#10;JxlBe9fQ5aKiRDrhW+0ODb3/cvtiTQkk7lpuvJMNPUugN9vnzzZ9qOXKd960MhIEcVD3oaFdSqFm&#10;DEQnLYeFD9JhUPloecJrPLA28h7RrWGrqnrFeh/bEL2QAOjdjUE6IcanAHqltJA7L45WujSiRml4&#10;QknQ6QB0W9gqJUX6pBTIRExDUWkqJxZBe59Ptt3w+hB56LSYKPCnUHikyXLtsOgVascTJ8eo/4Gy&#10;WkQPXqWF8JaNQkpHUMWyetSbu44HWbRgqyFcmw7/D1Z8PH2ORLcNff2SEsctTvzy/dvlx6/Lz69k&#10;mfvTB6gx7S5gYhre+gG3ZvYDOrPsQUWbvyiIYBy7e752Vw6JiPxovVqvKwwJjM0XxGcPz0OE9E56&#10;S7LR0IjjK13lpw+QxtQ5JVdz/lYbU0Zo3F8OxMwelrmPHLOVhv0wCdr79ox6epx8Qx0uOiXmvcPG&#10;5iWZjTgb+9k4hqgPHVJbFl4Q3hwTkijccoURdiqMIyvqpvXKO/HnvWQ9/FLb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C9LJCByQEAAJoDAAAOAAAAAAAAAAEAIAAAAB4BAABkcnMvZTJvRG9j&#10;LnhtbFBLBQYAAAAABgAGAFkBAABZBQAAAAA=&#10;">
              <v:fill on="f" focussize="0,0"/>
              <v:stroke on="f"/>
              <v:imagedata o:title=""/>
              <o:lock v:ext="edit" aspectratio="f"/>
              <v:textbox inset="0mm,0mm,0mm,0mm" style="mso-fit-shape-to-text:t;">
                <w:txbxContent>
                  <w:p>
                    <w:pPr>
                      <w:pStyle w:val="10"/>
                    </w:pPr>
                    <w:r>
                      <w:fldChar w:fldCharType="begin"/>
                    </w:r>
                    <w:r>
                      <w:instrText xml:space="preserve"> PAGE  \* MERGEFORMAT </w:instrText>
                    </w:r>
                    <w:r>
                      <w:fldChar w:fldCharType="separate"/>
                    </w:r>
                    <w:r>
                      <w:t>30</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framePr w:wrap="around" w:vAnchor="text" w:hAnchor="margin" w:xAlign="right" w:y="1"/>
      <w:rPr>
        <w:rStyle w:val="21"/>
      </w:rPr>
    </w:pPr>
    <w:r>
      <w:rPr>
        <w:rStyle w:val="21"/>
      </w:rPr>
      <w:fldChar w:fldCharType="begin"/>
    </w:r>
    <w:r>
      <w:rPr>
        <w:rStyle w:val="21"/>
      </w:rPr>
      <w:instrText xml:space="preserve">PAGE  </w:instrText>
    </w:r>
    <w:r>
      <w:rPr>
        <w:rStyle w:val="21"/>
      </w:rPr>
      <w:fldChar w:fldCharType="end"/>
    </w:r>
  </w:p>
  <w:p>
    <w:pPr>
      <w:pStyle w:val="10"/>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Pr>
    <w: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74"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0"/>
                          </w:pPr>
                          <w:r>
                            <w:fldChar w:fldCharType="begin"/>
                          </w:r>
                          <w:r>
                            <w:instrText xml:space="preserve"> PAGE  \* MERGEFORMAT </w:instrText>
                          </w:r>
                          <w:r>
                            <w:fldChar w:fldCharType="separate"/>
                          </w:r>
                          <w:r>
                            <w:t>1</w:t>
                          </w:r>
                          <w:r>
                            <w:fldChar w:fldCharType="end"/>
                          </w:r>
                        </w:p>
                      </w:txbxContent>
                    </wps:txbx>
                    <wps:bodyPr wrap="none" lIns="0" tIns="0" rIns="0" bIns="0" upright="1">
                      <a:spAutoFit/>
                    </wps:bodyPr>
                  </wps:wsp>
                </a:graphicData>
              </a:graphic>
            </wp:anchor>
          </w:drawing>
        </mc:Choice>
        <mc:Fallback>
          <w:pict>
            <v:shape id="文本框 2"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aQjZaskBAACaAwAADgAAAGRycy9lMm9Eb2MueG1srVPNjtMwEL4j8Q6W&#10;79RphaCKmq5A1SIkBEjLPoDr2I0l/8njNukLwBtw4sKd5+pzMHaSLiyXPXBxxjPjb75vZrK5Gawh&#10;JxlBe9fQ5aKiRDrhW+0ODb3/cvtiTQkk7lpuvJMNPUugN9vnzzZ9qOXKd960MhIEcVD3oaFdSqFm&#10;DEQnLYeFD9JhUPloecJrPLA28h7RrWGrqnrFeh/bEL2QAOjdjUE6IcanAHqltJA7L45WujSiRml4&#10;QknQ6QB0W9gqJUX6pBTIRExDUWkqJxZBe59Ptt3w+hB56LSYKPCnUHikyXLtsOgVascTJ8eo/4Gy&#10;WkQPXqWF8JaNQkpHUMWyetSbu44HWbRgqyFcmw7/D1Z8PH2ORLcNff2SEsctTvzy/dvlx6/Lz69k&#10;lfvTB6gx7S5gYhre+gG3ZvYDOrPsQUWbvyiIYBy7e752Vw6JiPxovVqvKwwJjM0XxGcPz0OE9E56&#10;S7LR0IjjK13lpw+QxtQ5JVdz/lYbU0Zo3F8OxMwelrmPHLOVhv0wCdr79ox6epx8Qx0uOiXmvcPG&#10;5iWZjTgb+9k4hqgPHVJbFl4Q3hwTkijccoURdiqMIyvqpvXKO/HnvWQ9/FLb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BpCNlqyQEAAJoDAAAOAAAAAAAAAAEAIAAAAB4BAABkcnMvZTJvRG9j&#10;LnhtbFBLBQYAAAAABgAGAFkBAABZBQAAAAA=&#10;">
              <v:fill on="f" focussize="0,0"/>
              <v:stroke on="f"/>
              <v:imagedata o:title=""/>
              <o:lock v:ext="edit" aspectratio="f"/>
              <v:textbox inset="0mm,0mm,0mm,0mm" style="mso-fit-shape-to-text:t;">
                <w:txbxContent>
                  <w:p>
                    <w:pPr>
                      <w:pStyle w:val="10"/>
                    </w:pPr>
                    <w:r>
                      <w:fldChar w:fldCharType="begin"/>
                    </w:r>
                    <w:r>
                      <w:instrText xml:space="preserve"> PAGE  \* MERGEFORMAT </w:instrText>
                    </w:r>
                    <w:r>
                      <w:fldChar w:fldCharType="separate"/>
                    </w:r>
                    <w:r>
                      <w:t>1</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639E953"/>
    <w:multiLevelType w:val="singleLevel"/>
    <w:tmpl w:val="B639E953"/>
    <w:lvl w:ilvl="0" w:tentative="0">
      <w:start w:val="1"/>
      <w:numFmt w:val="lowerLetter"/>
      <w:suff w:val="nothing"/>
      <w:lvlText w:val="%1）"/>
      <w:lvlJc w:val="left"/>
      <w:pPr>
        <w:ind w:left="480" w:leftChars="0" w:firstLine="0" w:firstLineChars="0"/>
      </w:pPr>
    </w:lvl>
  </w:abstractNum>
  <w:abstractNum w:abstractNumId="1">
    <w:nsid w:val="D3A57B24"/>
    <w:multiLevelType w:val="singleLevel"/>
    <w:tmpl w:val="D3A57B24"/>
    <w:lvl w:ilvl="0" w:tentative="0">
      <w:start w:val="6"/>
      <w:numFmt w:val="decimal"/>
      <w:suff w:val="nothing"/>
      <w:lvlText w:val="%1、"/>
      <w:lvlJc w:val="left"/>
    </w:lvl>
  </w:abstractNum>
  <w:abstractNum w:abstractNumId="2">
    <w:nsid w:val="F21A846A"/>
    <w:multiLevelType w:val="multilevel"/>
    <w:tmpl w:val="F21A846A"/>
    <w:lvl w:ilvl="0" w:tentative="0">
      <w:start w:val="1"/>
      <w:numFmt w:val="lowerLetter"/>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F5210652"/>
    <w:multiLevelType w:val="singleLevel"/>
    <w:tmpl w:val="F5210652"/>
    <w:lvl w:ilvl="0" w:tentative="0">
      <w:start w:val="2"/>
      <w:numFmt w:val="decimal"/>
      <w:suff w:val="nothing"/>
      <w:lvlText w:val="（%1）"/>
      <w:lvlJc w:val="left"/>
    </w:lvl>
  </w:abstractNum>
  <w:abstractNum w:abstractNumId="4">
    <w:nsid w:val="577B695F"/>
    <w:multiLevelType w:val="singleLevel"/>
    <w:tmpl w:val="577B695F"/>
    <w:lvl w:ilvl="0" w:tentative="0">
      <w:start w:val="1"/>
      <w:numFmt w:val="decimal"/>
      <w:suff w:val="nothing"/>
      <w:lvlText w:val="（%1）"/>
      <w:lvlJc w:val="left"/>
    </w:lvl>
  </w:abstractNum>
  <w:abstractNum w:abstractNumId="5">
    <w:nsid w:val="67033C99"/>
    <w:multiLevelType w:val="singleLevel"/>
    <w:tmpl w:val="67033C99"/>
    <w:lvl w:ilvl="0" w:tentative="0">
      <w:start w:val="2"/>
      <w:numFmt w:val="decimal"/>
      <w:suff w:val="nothing"/>
      <w:lvlText w:val="（%1）"/>
      <w:lvlJc w:val="left"/>
    </w:lvl>
  </w:abstractNum>
  <w:num w:numId="1">
    <w:abstractNumId w:val="5"/>
  </w:num>
  <w:num w:numId="2">
    <w:abstractNumId w:val="0"/>
  </w:num>
  <w:num w:numId="3">
    <w:abstractNumId w:val="3"/>
  </w:num>
  <w:num w:numId="4">
    <w:abstractNumId w:val="2"/>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2ZhYWJlODNhMGE4Njc3ZGJhYWQ1MDQxZDczM2VhMGMifQ=="/>
  </w:docVars>
  <w:rsids>
    <w:rsidRoot w:val="00221CA3"/>
    <w:rsid w:val="000022EC"/>
    <w:rsid w:val="00002E38"/>
    <w:rsid w:val="00003A7B"/>
    <w:rsid w:val="00003CA7"/>
    <w:rsid w:val="00004F2F"/>
    <w:rsid w:val="00005907"/>
    <w:rsid w:val="000060CC"/>
    <w:rsid w:val="00006236"/>
    <w:rsid w:val="0000764F"/>
    <w:rsid w:val="00011664"/>
    <w:rsid w:val="0001179B"/>
    <w:rsid w:val="00011C35"/>
    <w:rsid w:val="00012679"/>
    <w:rsid w:val="000131F1"/>
    <w:rsid w:val="00024F11"/>
    <w:rsid w:val="000259A7"/>
    <w:rsid w:val="000261B4"/>
    <w:rsid w:val="00026F93"/>
    <w:rsid w:val="00030EAF"/>
    <w:rsid w:val="000311CF"/>
    <w:rsid w:val="00031257"/>
    <w:rsid w:val="0003268C"/>
    <w:rsid w:val="00034663"/>
    <w:rsid w:val="000354E2"/>
    <w:rsid w:val="00035A89"/>
    <w:rsid w:val="00040D8D"/>
    <w:rsid w:val="00042856"/>
    <w:rsid w:val="00042ED3"/>
    <w:rsid w:val="0004353E"/>
    <w:rsid w:val="00047ED8"/>
    <w:rsid w:val="000503B3"/>
    <w:rsid w:val="00054972"/>
    <w:rsid w:val="000600E7"/>
    <w:rsid w:val="000609DC"/>
    <w:rsid w:val="000618AD"/>
    <w:rsid w:val="000619EC"/>
    <w:rsid w:val="00061C87"/>
    <w:rsid w:val="00062648"/>
    <w:rsid w:val="000636CF"/>
    <w:rsid w:val="000647F7"/>
    <w:rsid w:val="00064989"/>
    <w:rsid w:val="00065A17"/>
    <w:rsid w:val="00066175"/>
    <w:rsid w:val="00067570"/>
    <w:rsid w:val="00071419"/>
    <w:rsid w:val="000814F6"/>
    <w:rsid w:val="00081913"/>
    <w:rsid w:val="00086C25"/>
    <w:rsid w:val="000A00F3"/>
    <w:rsid w:val="000A1F0F"/>
    <w:rsid w:val="000A39BC"/>
    <w:rsid w:val="000A3A5D"/>
    <w:rsid w:val="000A3BA3"/>
    <w:rsid w:val="000A5350"/>
    <w:rsid w:val="000A7384"/>
    <w:rsid w:val="000A7529"/>
    <w:rsid w:val="000B0357"/>
    <w:rsid w:val="000B067B"/>
    <w:rsid w:val="000B1246"/>
    <w:rsid w:val="000B17C1"/>
    <w:rsid w:val="000B4434"/>
    <w:rsid w:val="000B64CF"/>
    <w:rsid w:val="000C07B8"/>
    <w:rsid w:val="000C1E54"/>
    <w:rsid w:val="000C3618"/>
    <w:rsid w:val="000C3CD3"/>
    <w:rsid w:val="000C43D8"/>
    <w:rsid w:val="000C4D71"/>
    <w:rsid w:val="000D01DF"/>
    <w:rsid w:val="000D2350"/>
    <w:rsid w:val="000D2D27"/>
    <w:rsid w:val="000D3542"/>
    <w:rsid w:val="000D52D2"/>
    <w:rsid w:val="000D6747"/>
    <w:rsid w:val="000D7B8A"/>
    <w:rsid w:val="000E3BEC"/>
    <w:rsid w:val="000E436B"/>
    <w:rsid w:val="000E4887"/>
    <w:rsid w:val="000E5E95"/>
    <w:rsid w:val="000E5F41"/>
    <w:rsid w:val="000F0478"/>
    <w:rsid w:val="000F28EE"/>
    <w:rsid w:val="000F3A58"/>
    <w:rsid w:val="000F60D1"/>
    <w:rsid w:val="001011E1"/>
    <w:rsid w:val="0010175A"/>
    <w:rsid w:val="001039DA"/>
    <w:rsid w:val="001071B0"/>
    <w:rsid w:val="00110E90"/>
    <w:rsid w:val="00110F24"/>
    <w:rsid w:val="0011176E"/>
    <w:rsid w:val="00112520"/>
    <w:rsid w:val="0011326F"/>
    <w:rsid w:val="00121455"/>
    <w:rsid w:val="0012248F"/>
    <w:rsid w:val="00125F71"/>
    <w:rsid w:val="00127612"/>
    <w:rsid w:val="00127EA1"/>
    <w:rsid w:val="00130156"/>
    <w:rsid w:val="00132FF5"/>
    <w:rsid w:val="00133D10"/>
    <w:rsid w:val="00133D84"/>
    <w:rsid w:val="001346FD"/>
    <w:rsid w:val="00135166"/>
    <w:rsid w:val="001358E0"/>
    <w:rsid w:val="0014071C"/>
    <w:rsid w:val="001411AC"/>
    <w:rsid w:val="001413D5"/>
    <w:rsid w:val="00142F08"/>
    <w:rsid w:val="0014311F"/>
    <w:rsid w:val="00143606"/>
    <w:rsid w:val="00145CEA"/>
    <w:rsid w:val="00146D8A"/>
    <w:rsid w:val="0015119C"/>
    <w:rsid w:val="00155831"/>
    <w:rsid w:val="001627F5"/>
    <w:rsid w:val="00162FAD"/>
    <w:rsid w:val="00164EF2"/>
    <w:rsid w:val="00165ACD"/>
    <w:rsid w:val="00167DE2"/>
    <w:rsid w:val="0017134E"/>
    <w:rsid w:val="00173D5E"/>
    <w:rsid w:val="00174510"/>
    <w:rsid w:val="001747B9"/>
    <w:rsid w:val="001753DE"/>
    <w:rsid w:val="00177AE1"/>
    <w:rsid w:val="00180582"/>
    <w:rsid w:val="00180D5C"/>
    <w:rsid w:val="00182C4C"/>
    <w:rsid w:val="00183817"/>
    <w:rsid w:val="0018527B"/>
    <w:rsid w:val="001867B2"/>
    <w:rsid w:val="001868AA"/>
    <w:rsid w:val="00187771"/>
    <w:rsid w:val="00191A58"/>
    <w:rsid w:val="001925BA"/>
    <w:rsid w:val="00194594"/>
    <w:rsid w:val="0019478D"/>
    <w:rsid w:val="0019526F"/>
    <w:rsid w:val="001963AD"/>
    <w:rsid w:val="001971D6"/>
    <w:rsid w:val="001A0888"/>
    <w:rsid w:val="001A091C"/>
    <w:rsid w:val="001A12DC"/>
    <w:rsid w:val="001A20B7"/>
    <w:rsid w:val="001A36E4"/>
    <w:rsid w:val="001A4CD1"/>
    <w:rsid w:val="001A6E8B"/>
    <w:rsid w:val="001A79BD"/>
    <w:rsid w:val="001B030D"/>
    <w:rsid w:val="001B289B"/>
    <w:rsid w:val="001B457A"/>
    <w:rsid w:val="001B512C"/>
    <w:rsid w:val="001B6C8B"/>
    <w:rsid w:val="001C2225"/>
    <w:rsid w:val="001C3458"/>
    <w:rsid w:val="001C3B95"/>
    <w:rsid w:val="001C45F4"/>
    <w:rsid w:val="001C6496"/>
    <w:rsid w:val="001C662C"/>
    <w:rsid w:val="001D03CA"/>
    <w:rsid w:val="001D0C08"/>
    <w:rsid w:val="001D3BF3"/>
    <w:rsid w:val="001D475C"/>
    <w:rsid w:val="001D7B18"/>
    <w:rsid w:val="001E0B64"/>
    <w:rsid w:val="001E1066"/>
    <w:rsid w:val="001E2CC0"/>
    <w:rsid w:val="001E35CB"/>
    <w:rsid w:val="001E5B4B"/>
    <w:rsid w:val="001E67F2"/>
    <w:rsid w:val="001E67F5"/>
    <w:rsid w:val="001E67F7"/>
    <w:rsid w:val="001E7E73"/>
    <w:rsid w:val="001F0E5D"/>
    <w:rsid w:val="001F2ACC"/>
    <w:rsid w:val="001F2E10"/>
    <w:rsid w:val="001F4802"/>
    <w:rsid w:val="001F6B18"/>
    <w:rsid w:val="001F6E77"/>
    <w:rsid w:val="00200979"/>
    <w:rsid w:val="0020245B"/>
    <w:rsid w:val="002025B2"/>
    <w:rsid w:val="0020294E"/>
    <w:rsid w:val="002059E3"/>
    <w:rsid w:val="0020702D"/>
    <w:rsid w:val="002074E1"/>
    <w:rsid w:val="00211EA3"/>
    <w:rsid w:val="00212B74"/>
    <w:rsid w:val="00220905"/>
    <w:rsid w:val="00220A90"/>
    <w:rsid w:val="00221213"/>
    <w:rsid w:val="002217B2"/>
    <w:rsid w:val="00221CA3"/>
    <w:rsid w:val="00226347"/>
    <w:rsid w:val="00226CD6"/>
    <w:rsid w:val="0023010F"/>
    <w:rsid w:val="0023028E"/>
    <w:rsid w:val="00230FEF"/>
    <w:rsid w:val="002311C7"/>
    <w:rsid w:val="002315DE"/>
    <w:rsid w:val="00233E78"/>
    <w:rsid w:val="00235D55"/>
    <w:rsid w:val="00236AB4"/>
    <w:rsid w:val="002378BA"/>
    <w:rsid w:val="00240B78"/>
    <w:rsid w:val="00241F2E"/>
    <w:rsid w:val="00241F77"/>
    <w:rsid w:val="0024439F"/>
    <w:rsid w:val="0024559D"/>
    <w:rsid w:val="00247074"/>
    <w:rsid w:val="00250E36"/>
    <w:rsid w:val="00251D62"/>
    <w:rsid w:val="00253661"/>
    <w:rsid w:val="00253DF5"/>
    <w:rsid w:val="00256015"/>
    <w:rsid w:val="0025793F"/>
    <w:rsid w:val="00260D85"/>
    <w:rsid w:val="00262035"/>
    <w:rsid w:val="00265D2A"/>
    <w:rsid w:val="0026662D"/>
    <w:rsid w:val="002675C8"/>
    <w:rsid w:val="0027046C"/>
    <w:rsid w:val="00271C6B"/>
    <w:rsid w:val="00280476"/>
    <w:rsid w:val="0028444B"/>
    <w:rsid w:val="00284C2C"/>
    <w:rsid w:val="002867D2"/>
    <w:rsid w:val="002902C2"/>
    <w:rsid w:val="0029113D"/>
    <w:rsid w:val="00291F59"/>
    <w:rsid w:val="002937F4"/>
    <w:rsid w:val="002941C0"/>
    <w:rsid w:val="00295F7E"/>
    <w:rsid w:val="00296958"/>
    <w:rsid w:val="00297780"/>
    <w:rsid w:val="002A0EAA"/>
    <w:rsid w:val="002A3D0D"/>
    <w:rsid w:val="002A5430"/>
    <w:rsid w:val="002A626C"/>
    <w:rsid w:val="002B5129"/>
    <w:rsid w:val="002B6CEF"/>
    <w:rsid w:val="002C0E40"/>
    <w:rsid w:val="002C1AAD"/>
    <w:rsid w:val="002C29F3"/>
    <w:rsid w:val="002C714D"/>
    <w:rsid w:val="002C73A0"/>
    <w:rsid w:val="002D0110"/>
    <w:rsid w:val="002D0CB5"/>
    <w:rsid w:val="002D0CCD"/>
    <w:rsid w:val="002D0F7A"/>
    <w:rsid w:val="002D625E"/>
    <w:rsid w:val="002D72B0"/>
    <w:rsid w:val="002E0811"/>
    <w:rsid w:val="002E0E6E"/>
    <w:rsid w:val="002E1565"/>
    <w:rsid w:val="002E3BBA"/>
    <w:rsid w:val="002E3F80"/>
    <w:rsid w:val="002E5CF8"/>
    <w:rsid w:val="002F2732"/>
    <w:rsid w:val="002F57A7"/>
    <w:rsid w:val="002F6B02"/>
    <w:rsid w:val="002F6BA7"/>
    <w:rsid w:val="002F6E50"/>
    <w:rsid w:val="0030021C"/>
    <w:rsid w:val="00303B0B"/>
    <w:rsid w:val="00303EFE"/>
    <w:rsid w:val="0030519A"/>
    <w:rsid w:val="00305731"/>
    <w:rsid w:val="00305E34"/>
    <w:rsid w:val="00307E5B"/>
    <w:rsid w:val="00311800"/>
    <w:rsid w:val="003149FC"/>
    <w:rsid w:val="003159FA"/>
    <w:rsid w:val="00315AF4"/>
    <w:rsid w:val="00315D78"/>
    <w:rsid w:val="0031675A"/>
    <w:rsid w:val="00317246"/>
    <w:rsid w:val="0031794B"/>
    <w:rsid w:val="00323279"/>
    <w:rsid w:val="00323550"/>
    <w:rsid w:val="00323C6B"/>
    <w:rsid w:val="003253FD"/>
    <w:rsid w:val="00325AE1"/>
    <w:rsid w:val="0033030F"/>
    <w:rsid w:val="003308F8"/>
    <w:rsid w:val="00331225"/>
    <w:rsid w:val="003313EF"/>
    <w:rsid w:val="00331A20"/>
    <w:rsid w:val="00332987"/>
    <w:rsid w:val="00335A85"/>
    <w:rsid w:val="00337BBC"/>
    <w:rsid w:val="00342211"/>
    <w:rsid w:val="00345465"/>
    <w:rsid w:val="003467E8"/>
    <w:rsid w:val="0034797C"/>
    <w:rsid w:val="003500D1"/>
    <w:rsid w:val="00350351"/>
    <w:rsid w:val="003513F8"/>
    <w:rsid w:val="003520CA"/>
    <w:rsid w:val="00352CEB"/>
    <w:rsid w:val="0035500F"/>
    <w:rsid w:val="00356DB8"/>
    <w:rsid w:val="00357159"/>
    <w:rsid w:val="0036094B"/>
    <w:rsid w:val="00361B88"/>
    <w:rsid w:val="00361D67"/>
    <w:rsid w:val="003626F0"/>
    <w:rsid w:val="00362799"/>
    <w:rsid w:val="00363B3F"/>
    <w:rsid w:val="00365C18"/>
    <w:rsid w:val="00370E8C"/>
    <w:rsid w:val="003734E4"/>
    <w:rsid w:val="003745C6"/>
    <w:rsid w:val="003769EF"/>
    <w:rsid w:val="003778A7"/>
    <w:rsid w:val="00381436"/>
    <w:rsid w:val="003816FE"/>
    <w:rsid w:val="00384244"/>
    <w:rsid w:val="00385335"/>
    <w:rsid w:val="0038650E"/>
    <w:rsid w:val="003917F7"/>
    <w:rsid w:val="00391942"/>
    <w:rsid w:val="00391C75"/>
    <w:rsid w:val="003935DB"/>
    <w:rsid w:val="003936A8"/>
    <w:rsid w:val="003949D0"/>
    <w:rsid w:val="00394C60"/>
    <w:rsid w:val="003953C5"/>
    <w:rsid w:val="0039591C"/>
    <w:rsid w:val="00396377"/>
    <w:rsid w:val="00397ED0"/>
    <w:rsid w:val="003A1840"/>
    <w:rsid w:val="003A240A"/>
    <w:rsid w:val="003A5A97"/>
    <w:rsid w:val="003A7A28"/>
    <w:rsid w:val="003B1DBD"/>
    <w:rsid w:val="003B25E2"/>
    <w:rsid w:val="003B3273"/>
    <w:rsid w:val="003B3C56"/>
    <w:rsid w:val="003B3E7B"/>
    <w:rsid w:val="003B4D1D"/>
    <w:rsid w:val="003B5682"/>
    <w:rsid w:val="003B5B41"/>
    <w:rsid w:val="003B5B83"/>
    <w:rsid w:val="003B716A"/>
    <w:rsid w:val="003C365F"/>
    <w:rsid w:val="003C43E3"/>
    <w:rsid w:val="003C465E"/>
    <w:rsid w:val="003C4915"/>
    <w:rsid w:val="003C49B1"/>
    <w:rsid w:val="003C4ED0"/>
    <w:rsid w:val="003C5171"/>
    <w:rsid w:val="003C73FC"/>
    <w:rsid w:val="003C7E3E"/>
    <w:rsid w:val="003D147D"/>
    <w:rsid w:val="003D1ECF"/>
    <w:rsid w:val="003D2C20"/>
    <w:rsid w:val="003D3FA1"/>
    <w:rsid w:val="003D56FF"/>
    <w:rsid w:val="003D727E"/>
    <w:rsid w:val="003E6A86"/>
    <w:rsid w:val="003E7979"/>
    <w:rsid w:val="003F06F7"/>
    <w:rsid w:val="003F070B"/>
    <w:rsid w:val="003F0F58"/>
    <w:rsid w:val="003F35BF"/>
    <w:rsid w:val="003F6981"/>
    <w:rsid w:val="003F75D0"/>
    <w:rsid w:val="003F75DE"/>
    <w:rsid w:val="003F7F79"/>
    <w:rsid w:val="00400399"/>
    <w:rsid w:val="00401C6F"/>
    <w:rsid w:val="00402B07"/>
    <w:rsid w:val="00402FBD"/>
    <w:rsid w:val="004056D9"/>
    <w:rsid w:val="004060F6"/>
    <w:rsid w:val="00407A78"/>
    <w:rsid w:val="00411833"/>
    <w:rsid w:val="00412605"/>
    <w:rsid w:val="00413164"/>
    <w:rsid w:val="00413FC8"/>
    <w:rsid w:val="00416484"/>
    <w:rsid w:val="00417A1C"/>
    <w:rsid w:val="004206CB"/>
    <w:rsid w:val="004216B6"/>
    <w:rsid w:val="004231E6"/>
    <w:rsid w:val="004235DF"/>
    <w:rsid w:val="00425566"/>
    <w:rsid w:val="00426951"/>
    <w:rsid w:val="00427EFE"/>
    <w:rsid w:val="00431E50"/>
    <w:rsid w:val="00435684"/>
    <w:rsid w:val="00442270"/>
    <w:rsid w:val="004431BB"/>
    <w:rsid w:val="004431FF"/>
    <w:rsid w:val="004449CA"/>
    <w:rsid w:val="00444FF6"/>
    <w:rsid w:val="0045010F"/>
    <w:rsid w:val="00450BFF"/>
    <w:rsid w:val="00451668"/>
    <w:rsid w:val="00451812"/>
    <w:rsid w:val="00453371"/>
    <w:rsid w:val="004542D6"/>
    <w:rsid w:val="00456DE4"/>
    <w:rsid w:val="00457ED1"/>
    <w:rsid w:val="00460456"/>
    <w:rsid w:val="00461F51"/>
    <w:rsid w:val="004626FD"/>
    <w:rsid w:val="00462C65"/>
    <w:rsid w:val="00463A8E"/>
    <w:rsid w:val="004647F5"/>
    <w:rsid w:val="0046486B"/>
    <w:rsid w:val="00464EDB"/>
    <w:rsid w:val="00466007"/>
    <w:rsid w:val="004750C6"/>
    <w:rsid w:val="004755A2"/>
    <w:rsid w:val="0048062B"/>
    <w:rsid w:val="00482431"/>
    <w:rsid w:val="004835CF"/>
    <w:rsid w:val="004842DE"/>
    <w:rsid w:val="004852A5"/>
    <w:rsid w:val="00486E9E"/>
    <w:rsid w:val="004872DC"/>
    <w:rsid w:val="00490CE9"/>
    <w:rsid w:val="00492022"/>
    <w:rsid w:val="00492B66"/>
    <w:rsid w:val="004938C2"/>
    <w:rsid w:val="00495FD7"/>
    <w:rsid w:val="00497C8C"/>
    <w:rsid w:val="004A02BF"/>
    <w:rsid w:val="004A7160"/>
    <w:rsid w:val="004B1C55"/>
    <w:rsid w:val="004B2DF0"/>
    <w:rsid w:val="004B3686"/>
    <w:rsid w:val="004B39E7"/>
    <w:rsid w:val="004B562B"/>
    <w:rsid w:val="004B5688"/>
    <w:rsid w:val="004B5DFB"/>
    <w:rsid w:val="004B6027"/>
    <w:rsid w:val="004B768D"/>
    <w:rsid w:val="004C7693"/>
    <w:rsid w:val="004D0C45"/>
    <w:rsid w:val="004D4E8B"/>
    <w:rsid w:val="004D58B1"/>
    <w:rsid w:val="004D7107"/>
    <w:rsid w:val="004E22E3"/>
    <w:rsid w:val="004E30AA"/>
    <w:rsid w:val="004E3680"/>
    <w:rsid w:val="004E3802"/>
    <w:rsid w:val="004E4B64"/>
    <w:rsid w:val="004E4C0D"/>
    <w:rsid w:val="004E4C64"/>
    <w:rsid w:val="004E55F4"/>
    <w:rsid w:val="004E7310"/>
    <w:rsid w:val="004E7C15"/>
    <w:rsid w:val="004F037D"/>
    <w:rsid w:val="004F056A"/>
    <w:rsid w:val="004F1DD7"/>
    <w:rsid w:val="004F255D"/>
    <w:rsid w:val="004F734F"/>
    <w:rsid w:val="00500DE7"/>
    <w:rsid w:val="00501D3C"/>
    <w:rsid w:val="00503CCE"/>
    <w:rsid w:val="0050620D"/>
    <w:rsid w:val="0050713C"/>
    <w:rsid w:val="00507A7F"/>
    <w:rsid w:val="00511A24"/>
    <w:rsid w:val="00511F99"/>
    <w:rsid w:val="00512207"/>
    <w:rsid w:val="00512EDE"/>
    <w:rsid w:val="005148FE"/>
    <w:rsid w:val="005150E8"/>
    <w:rsid w:val="0051520E"/>
    <w:rsid w:val="00515769"/>
    <w:rsid w:val="0051618E"/>
    <w:rsid w:val="00516B68"/>
    <w:rsid w:val="005173F0"/>
    <w:rsid w:val="00521299"/>
    <w:rsid w:val="00521FF6"/>
    <w:rsid w:val="00522629"/>
    <w:rsid w:val="00524F2C"/>
    <w:rsid w:val="00525E71"/>
    <w:rsid w:val="00525F2C"/>
    <w:rsid w:val="00525F49"/>
    <w:rsid w:val="005334CA"/>
    <w:rsid w:val="00534E23"/>
    <w:rsid w:val="005406FD"/>
    <w:rsid w:val="00541C07"/>
    <w:rsid w:val="00543A21"/>
    <w:rsid w:val="00543B39"/>
    <w:rsid w:val="00543E67"/>
    <w:rsid w:val="00544396"/>
    <w:rsid w:val="00546B87"/>
    <w:rsid w:val="00550DED"/>
    <w:rsid w:val="00552FF5"/>
    <w:rsid w:val="00553469"/>
    <w:rsid w:val="00553517"/>
    <w:rsid w:val="005551C6"/>
    <w:rsid w:val="0055710F"/>
    <w:rsid w:val="00557A4B"/>
    <w:rsid w:val="00561F68"/>
    <w:rsid w:val="005637F1"/>
    <w:rsid w:val="005640AA"/>
    <w:rsid w:val="00566FCC"/>
    <w:rsid w:val="005716ED"/>
    <w:rsid w:val="00571A3B"/>
    <w:rsid w:val="00573248"/>
    <w:rsid w:val="00573321"/>
    <w:rsid w:val="005741AA"/>
    <w:rsid w:val="00575F53"/>
    <w:rsid w:val="0057613A"/>
    <w:rsid w:val="00577CD9"/>
    <w:rsid w:val="00584A11"/>
    <w:rsid w:val="00585DA3"/>
    <w:rsid w:val="00586A77"/>
    <w:rsid w:val="00591DAE"/>
    <w:rsid w:val="0059309E"/>
    <w:rsid w:val="005933AE"/>
    <w:rsid w:val="00595AB1"/>
    <w:rsid w:val="00596274"/>
    <w:rsid w:val="005964F0"/>
    <w:rsid w:val="00596774"/>
    <w:rsid w:val="005A2D2E"/>
    <w:rsid w:val="005A40E0"/>
    <w:rsid w:val="005A540F"/>
    <w:rsid w:val="005A5476"/>
    <w:rsid w:val="005B18D7"/>
    <w:rsid w:val="005B1B34"/>
    <w:rsid w:val="005B41F7"/>
    <w:rsid w:val="005B5601"/>
    <w:rsid w:val="005B5B35"/>
    <w:rsid w:val="005B69B1"/>
    <w:rsid w:val="005B75DF"/>
    <w:rsid w:val="005B7B11"/>
    <w:rsid w:val="005C5A00"/>
    <w:rsid w:val="005C637F"/>
    <w:rsid w:val="005C6B80"/>
    <w:rsid w:val="005D2751"/>
    <w:rsid w:val="005D69FB"/>
    <w:rsid w:val="005E216E"/>
    <w:rsid w:val="005E560F"/>
    <w:rsid w:val="005E6CB7"/>
    <w:rsid w:val="005E77C1"/>
    <w:rsid w:val="005F00BC"/>
    <w:rsid w:val="005F0332"/>
    <w:rsid w:val="005F2813"/>
    <w:rsid w:val="005F7805"/>
    <w:rsid w:val="005F7956"/>
    <w:rsid w:val="00603455"/>
    <w:rsid w:val="006035BD"/>
    <w:rsid w:val="00603695"/>
    <w:rsid w:val="0060409C"/>
    <w:rsid w:val="00605A06"/>
    <w:rsid w:val="006060BA"/>
    <w:rsid w:val="00607756"/>
    <w:rsid w:val="00610FFC"/>
    <w:rsid w:val="006112A9"/>
    <w:rsid w:val="006131FB"/>
    <w:rsid w:val="00613284"/>
    <w:rsid w:val="00613813"/>
    <w:rsid w:val="006143AD"/>
    <w:rsid w:val="0061504E"/>
    <w:rsid w:val="006154E1"/>
    <w:rsid w:val="006155FC"/>
    <w:rsid w:val="006170C4"/>
    <w:rsid w:val="00621237"/>
    <w:rsid w:val="00621B21"/>
    <w:rsid w:val="006229EE"/>
    <w:rsid w:val="00624825"/>
    <w:rsid w:val="006249E2"/>
    <w:rsid w:val="00625A4F"/>
    <w:rsid w:val="00626314"/>
    <w:rsid w:val="00631987"/>
    <w:rsid w:val="00632250"/>
    <w:rsid w:val="00633D54"/>
    <w:rsid w:val="00634674"/>
    <w:rsid w:val="006355D4"/>
    <w:rsid w:val="006407EB"/>
    <w:rsid w:val="00641B9C"/>
    <w:rsid w:val="00642DBC"/>
    <w:rsid w:val="00642F0C"/>
    <w:rsid w:val="00646EAA"/>
    <w:rsid w:val="00651A53"/>
    <w:rsid w:val="00651B71"/>
    <w:rsid w:val="00652127"/>
    <w:rsid w:val="00652742"/>
    <w:rsid w:val="00655000"/>
    <w:rsid w:val="00656588"/>
    <w:rsid w:val="00656C8C"/>
    <w:rsid w:val="00661824"/>
    <w:rsid w:val="00662C70"/>
    <w:rsid w:val="00664D47"/>
    <w:rsid w:val="00666573"/>
    <w:rsid w:val="0066790B"/>
    <w:rsid w:val="00667A9C"/>
    <w:rsid w:val="00671058"/>
    <w:rsid w:val="00673EEB"/>
    <w:rsid w:val="00682955"/>
    <w:rsid w:val="00683435"/>
    <w:rsid w:val="00684174"/>
    <w:rsid w:val="00684B8E"/>
    <w:rsid w:val="006856DF"/>
    <w:rsid w:val="00685761"/>
    <w:rsid w:val="006862A3"/>
    <w:rsid w:val="00687867"/>
    <w:rsid w:val="0069072D"/>
    <w:rsid w:val="006925C1"/>
    <w:rsid w:val="00692EC3"/>
    <w:rsid w:val="0069541A"/>
    <w:rsid w:val="00696404"/>
    <w:rsid w:val="006A022E"/>
    <w:rsid w:val="006A1D96"/>
    <w:rsid w:val="006A65E3"/>
    <w:rsid w:val="006A6690"/>
    <w:rsid w:val="006B0F82"/>
    <w:rsid w:val="006B4344"/>
    <w:rsid w:val="006B680E"/>
    <w:rsid w:val="006C0259"/>
    <w:rsid w:val="006C30CC"/>
    <w:rsid w:val="006C3970"/>
    <w:rsid w:val="006C4499"/>
    <w:rsid w:val="006D2F5D"/>
    <w:rsid w:val="006D46A1"/>
    <w:rsid w:val="006D4748"/>
    <w:rsid w:val="006D4A3B"/>
    <w:rsid w:val="006D5337"/>
    <w:rsid w:val="006E185C"/>
    <w:rsid w:val="006E2261"/>
    <w:rsid w:val="006E58A9"/>
    <w:rsid w:val="006E5F87"/>
    <w:rsid w:val="006E61B0"/>
    <w:rsid w:val="006E717F"/>
    <w:rsid w:val="006E7427"/>
    <w:rsid w:val="006F2B1F"/>
    <w:rsid w:val="006F65FF"/>
    <w:rsid w:val="006F7715"/>
    <w:rsid w:val="006F7E85"/>
    <w:rsid w:val="007019F0"/>
    <w:rsid w:val="00703D88"/>
    <w:rsid w:val="00705918"/>
    <w:rsid w:val="00705EFB"/>
    <w:rsid w:val="00712E8E"/>
    <w:rsid w:val="0071398F"/>
    <w:rsid w:val="00715431"/>
    <w:rsid w:val="007203FE"/>
    <w:rsid w:val="00721188"/>
    <w:rsid w:val="007212F4"/>
    <w:rsid w:val="007215E1"/>
    <w:rsid w:val="00722E8F"/>
    <w:rsid w:val="00723D06"/>
    <w:rsid w:val="007242F6"/>
    <w:rsid w:val="00724EE8"/>
    <w:rsid w:val="0072593A"/>
    <w:rsid w:val="00726EED"/>
    <w:rsid w:val="00730D69"/>
    <w:rsid w:val="00733539"/>
    <w:rsid w:val="007353AE"/>
    <w:rsid w:val="00736132"/>
    <w:rsid w:val="00737D49"/>
    <w:rsid w:val="00740DAE"/>
    <w:rsid w:val="007413F1"/>
    <w:rsid w:val="007424E2"/>
    <w:rsid w:val="00742D28"/>
    <w:rsid w:val="00743AE0"/>
    <w:rsid w:val="0074444B"/>
    <w:rsid w:val="00745FF6"/>
    <w:rsid w:val="007477B4"/>
    <w:rsid w:val="00752BEB"/>
    <w:rsid w:val="007536E7"/>
    <w:rsid w:val="00753D17"/>
    <w:rsid w:val="00754219"/>
    <w:rsid w:val="00754510"/>
    <w:rsid w:val="00755220"/>
    <w:rsid w:val="007556D2"/>
    <w:rsid w:val="007573A5"/>
    <w:rsid w:val="00757EEA"/>
    <w:rsid w:val="00760308"/>
    <w:rsid w:val="00760B57"/>
    <w:rsid w:val="00763E68"/>
    <w:rsid w:val="007658A3"/>
    <w:rsid w:val="00767F00"/>
    <w:rsid w:val="007712E4"/>
    <w:rsid w:val="00772E84"/>
    <w:rsid w:val="0077409B"/>
    <w:rsid w:val="007777A0"/>
    <w:rsid w:val="00782BD2"/>
    <w:rsid w:val="0078330C"/>
    <w:rsid w:val="00784131"/>
    <w:rsid w:val="00786A0B"/>
    <w:rsid w:val="00790665"/>
    <w:rsid w:val="00791303"/>
    <w:rsid w:val="00793872"/>
    <w:rsid w:val="007953DF"/>
    <w:rsid w:val="0079547B"/>
    <w:rsid w:val="00795891"/>
    <w:rsid w:val="007961DE"/>
    <w:rsid w:val="007A12C9"/>
    <w:rsid w:val="007A2DFD"/>
    <w:rsid w:val="007A340C"/>
    <w:rsid w:val="007A6837"/>
    <w:rsid w:val="007B0D12"/>
    <w:rsid w:val="007B19E8"/>
    <w:rsid w:val="007B2413"/>
    <w:rsid w:val="007B418B"/>
    <w:rsid w:val="007B494F"/>
    <w:rsid w:val="007B57CE"/>
    <w:rsid w:val="007B5B03"/>
    <w:rsid w:val="007B5B8A"/>
    <w:rsid w:val="007B5F93"/>
    <w:rsid w:val="007B6F75"/>
    <w:rsid w:val="007C083B"/>
    <w:rsid w:val="007C2D11"/>
    <w:rsid w:val="007C63D3"/>
    <w:rsid w:val="007C7680"/>
    <w:rsid w:val="007D1949"/>
    <w:rsid w:val="007D255A"/>
    <w:rsid w:val="007D287F"/>
    <w:rsid w:val="007D2F65"/>
    <w:rsid w:val="007D40CB"/>
    <w:rsid w:val="007D56B5"/>
    <w:rsid w:val="007D59B8"/>
    <w:rsid w:val="007D72C2"/>
    <w:rsid w:val="007E0216"/>
    <w:rsid w:val="007E1A4B"/>
    <w:rsid w:val="007E3589"/>
    <w:rsid w:val="007E5B6A"/>
    <w:rsid w:val="007E6191"/>
    <w:rsid w:val="007E73BE"/>
    <w:rsid w:val="007F13B2"/>
    <w:rsid w:val="007F1B71"/>
    <w:rsid w:val="007F503D"/>
    <w:rsid w:val="007F68AA"/>
    <w:rsid w:val="007F7055"/>
    <w:rsid w:val="007F7F95"/>
    <w:rsid w:val="00803DDD"/>
    <w:rsid w:val="00804320"/>
    <w:rsid w:val="00804AC1"/>
    <w:rsid w:val="0080731F"/>
    <w:rsid w:val="00807A4E"/>
    <w:rsid w:val="00807F1D"/>
    <w:rsid w:val="0081051A"/>
    <w:rsid w:val="00812107"/>
    <w:rsid w:val="00813AB5"/>
    <w:rsid w:val="00814D3E"/>
    <w:rsid w:val="00815F80"/>
    <w:rsid w:val="00816B0A"/>
    <w:rsid w:val="00816D43"/>
    <w:rsid w:val="0082007A"/>
    <w:rsid w:val="008208EA"/>
    <w:rsid w:val="008268F8"/>
    <w:rsid w:val="00830C5A"/>
    <w:rsid w:val="008354F4"/>
    <w:rsid w:val="008368D0"/>
    <w:rsid w:val="00836A60"/>
    <w:rsid w:val="008400F6"/>
    <w:rsid w:val="00840CAA"/>
    <w:rsid w:val="00842694"/>
    <w:rsid w:val="008447AC"/>
    <w:rsid w:val="00844B5B"/>
    <w:rsid w:val="00844FC2"/>
    <w:rsid w:val="00845BF7"/>
    <w:rsid w:val="00845CE6"/>
    <w:rsid w:val="0084764B"/>
    <w:rsid w:val="00850A7C"/>
    <w:rsid w:val="00851FBE"/>
    <w:rsid w:val="00855291"/>
    <w:rsid w:val="008555A8"/>
    <w:rsid w:val="00856FE2"/>
    <w:rsid w:val="008572A8"/>
    <w:rsid w:val="00857B05"/>
    <w:rsid w:val="00862368"/>
    <w:rsid w:val="00863648"/>
    <w:rsid w:val="00863B18"/>
    <w:rsid w:val="00864282"/>
    <w:rsid w:val="0086793D"/>
    <w:rsid w:val="008710BD"/>
    <w:rsid w:val="00872C98"/>
    <w:rsid w:val="00875637"/>
    <w:rsid w:val="00876B62"/>
    <w:rsid w:val="00883AD9"/>
    <w:rsid w:val="008849C3"/>
    <w:rsid w:val="00884F55"/>
    <w:rsid w:val="0088554F"/>
    <w:rsid w:val="00885F33"/>
    <w:rsid w:val="0088697C"/>
    <w:rsid w:val="00886A3E"/>
    <w:rsid w:val="00886A61"/>
    <w:rsid w:val="00890A3B"/>
    <w:rsid w:val="008924FD"/>
    <w:rsid w:val="00892526"/>
    <w:rsid w:val="0089308E"/>
    <w:rsid w:val="0089495D"/>
    <w:rsid w:val="00895B65"/>
    <w:rsid w:val="008967F6"/>
    <w:rsid w:val="008A0F2C"/>
    <w:rsid w:val="008A172B"/>
    <w:rsid w:val="008A1879"/>
    <w:rsid w:val="008A4FA9"/>
    <w:rsid w:val="008A561E"/>
    <w:rsid w:val="008A6578"/>
    <w:rsid w:val="008A77E8"/>
    <w:rsid w:val="008B2877"/>
    <w:rsid w:val="008B2BE5"/>
    <w:rsid w:val="008B3072"/>
    <w:rsid w:val="008B5101"/>
    <w:rsid w:val="008C00B0"/>
    <w:rsid w:val="008C43E6"/>
    <w:rsid w:val="008C4B3C"/>
    <w:rsid w:val="008C6547"/>
    <w:rsid w:val="008D144C"/>
    <w:rsid w:val="008D1E67"/>
    <w:rsid w:val="008D4907"/>
    <w:rsid w:val="008E01EA"/>
    <w:rsid w:val="008E359E"/>
    <w:rsid w:val="008F340E"/>
    <w:rsid w:val="008F4205"/>
    <w:rsid w:val="008F4D95"/>
    <w:rsid w:val="008F7701"/>
    <w:rsid w:val="009001BC"/>
    <w:rsid w:val="00900530"/>
    <w:rsid w:val="00902ADA"/>
    <w:rsid w:val="00906B89"/>
    <w:rsid w:val="00911586"/>
    <w:rsid w:val="009134E6"/>
    <w:rsid w:val="009140C3"/>
    <w:rsid w:val="00917B9F"/>
    <w:rsid w:val="00920EC6"/>
    <w:rsid w:val="0092189E"/>
    <w:rsid w:val="00922A6A"/>
    <w:rsid w:val="00924C87"/>
    <w:rsid w:val="00924FA3"/>
    <w:rsid w:val="009257E1"/>
    <w:rsid w:val="00925FAF"/>
    <w:rsid w:val="00926B35"/>
    <w:rsid w:val="00926D63"/>
    <w:rsid w:val="00927D3C"/>
    <w:rsid w:val="009302AA"/>
    <w:rsid w:val="0093069A"/>
    <w:rsid w:val="00935EB5"/>
    <w:rsid w:val="00936CE8"/>
    <w:rsid w:val="00937D63"/>
    <w:rsid w:val="009400C8"/>
    <w:rsid w:val="009409EC"/>
    <w:rsid w:val="009428AA"/>
    <w:rsid w:val="00943B10"/>
    <w:rsid w:val="00944042"/>
    <w:rsid w:val="009440E5"/>
    <w:rsid w:val="0094530F"/>
    <w:rsid w:val="00945618"/>
    <w:rsid w:val="00947164"/>
    <w:rsid w:val="009502E4"/>
    <w:rsid w:val="0095061D"/>
    <w:rsid w:val="00950D8E"/>
    <w:rsid w:val="009545E9"/>
    <w:rsid w:val="0095514D"/>
    <w:rsid w:val="00956049"/>
    <w:rsid w:val="00957F60"/>
    <w:rsid w:val="00960039"/>
    <w:rsid w:val="00963489"/>
    <w:rsid w:val="00963E19"/>
    <w:rsid w:val="009658DC"/>
    <w:rsid w:val="0096592C"/>
    <w:rsid w:val="00965BD0"/>
    <w:rsid w:val="0096735B"/>
    <w:rsid w:val="00967EB3"/>
    <w:rsid w:val="0097197B"/>
    <w:rsid w:val="00971A5C"/>
    <w:rsid w:val="00972979"/>
    <w:rsid w:val="00972B08"/>
    <w:rsid w:val="009735F3"/>
    <w:rsid w:val="009736A7"/>
    <w:rsid w:val="00973F64"/>
    <w:rsid w:val="00974685"/>
    <w:rsid w:val="00974807"/>
    <w:rsid w:val="009751F6"/>
    <w:rsid w:val="00975A4D"/>
    <w:rsid w:val="00975B73"/>
    <w:rsid w:val="0097667F"/>
    <w:rsid w:val="00976B9E"/>
    <w:rsid w:val="00976FB2"/>
    <w:rsid w:val="00981D51"/>
    <w:rsid w:val="00982A07"/>
    <w:rsid w:val="0098465D"/>
    <w:rsid w:val="00984A6B"/>
    <w:rsid w:val="009859EC"/>
    <w:rsid w:val="00990428"/>
    <w:rsid w:val="00990B0B"/>
    <w:rsid w:val="00991373"/>
    <w:rsid w:val="00991AA8"/>
    <w:rsid w:val="00993188"/>
    <w:rsid w:val="00994ADD"/>
    <w:rsid w:val="009951E4"/>
    <w:rsid w:val="00995F12"/>
    <w:rsid w:val="009A02A5"/>
    <w:rsid w:val="009A05DA"/>
    <w:rsid w:val="009A097E"/>
    <w:rsid w:val="009A0E1B"/>
    <w:rsid w:val="009A13C5"/>
    <w:rsid w:val="009A21AD"/>
    <w:rsid w:val="009A2206"/>
    <w:rsid w:val="009A60E0"/>
    <w:rsid w:val="009A641C"/>
    <w:rsid w:val="009A6BCE"/>
    <w:rsid w:val="009B0A68"/>
    <w:rsid w:val="009B2862"/>
    <w:rsid w:val="009B30E5"/>
    <w:rsid w:val="009B3D1E"/>
    <w:rsid w:val="009B708C"/>
    <w:rsid w:val="009C1D57"/>
    <w:rsid w:val="009C1E94"/>
    <w:rsid w:val="009C2096"/>
    <w:rsid w:val="009C3174"/>
    <w:rsid w:val="009C412D"/>
    <w:rsid w:val="009C5220"/>
    <w:rsid w:val="009C6193"/>
    <w:rsid w:val="009C79FF"/>
    <w:rsid w:val="009C7C68"/>
    <w:rsid w:val="009D1561"/>
    <w:rsid w:val="009D15A2"/>
    <w:rsid w:val="009D26F0"/>
    <w:rsid w:val="009D3776"/>
    <w:rsid w:val="009D4D5C"/>
    <w:rsid w:val="009D71F5"/>
    <w:rsid w:val="009E11B0"/>
    <w:rsid w:val="009E25C8"/>
    <w:rsid w:val="009E39E3"/>
    <w:rsid w:val="009E5B3C"/>
    <w:rsid w:val="009E6456"/>
    <w:rsid w:val="009E65EA"/>
    <w:rsid w:val="009E7AA7"/>
    <w:rsid w:val="009E7D84"/>
    <w:rsid w:val="009F17F4"/>
    <w:rsid w:val="009F1810"/>
    <w:rsid w:val="009F1F1D"/>
    <w:rsid w:val="009F3A88"/>
    <w:rsid w:val="009F3F54"/>
    <w:rsid w:val="009F45C6"/>
    <w:rsid w:val="009F56C4"/>
    <w:rsid w:val="00A044CF"/>
    <w:rsid w:val="00A04FB4"/>
    <w:rsid w:val="00A144A5"/>
    <w:rsid w:val="00A144E1"/>
    <w:rsid w:val="00A14644"/>
    <w:rsid w:val="00A1530D"/>
    <w:rsid w:val="00A1690A"/>
    <w:rsid w:val="00A16C20"/>
    <w:rsid w:val="00A2046E"/>
    <w:rsid w:val="00A207EE"/>
    <w:rsid w:val="00A21934"/>
    <w:rsid w:val="00A24C95"/>
    <w:rsid w:val="00A25CF9"/>
    <w:rsid w:val="00A25F2B"/>
    <w:rsid w:val="00A30770"/>
    <w:rsid w:val="00A30B6D"/>
    <w:rsid w:val="00A30C3A"/>
    <w:rsid w:val="00A32FEB"/>
    <w:rsid w:val="00A33794"/>
    <w:rsid w:val="00A33973"/>
    <w:rsid w:val="00A3422F"/>
    <w:rsid w:val="00A357AA"/>
    <w:rsid w:val="00A366F0"/>
    <w:rsid w:val="00A36FB3"/>
    <w:rsid w:val="00A3723B"/>
    <w:rsid w:val="00A40D73"/>
    <w:rsid w:val="00A41397"/>
    <w:rsid w:val="00A413D9"/>
    <w:rsid w:val="00A416A2"/>
    <w:rsid w:val="00A42B7D"/>
    <w:rsid w:val="00A43E6B"/>
    <w:rsid w:val="00A44D3E"/>
    <w:rsid w:val="00A4510C"/>
    <w:rsid w:val="00A45F42"/>
    <w:rsid w:val="00A4791E"/>
    <w:rsid w:val="00A50291"/>
    <w:rsid w:val="00A50B0D"/>
    <w:rsid w:val="00A51C32"/>
    <w:rsid w:val="00A52237"/>
    <w:rsid w:val="00A52312"/>
    <w:rsid w:val="00A5278B"/>
    <w:rsid w:val="00A56980"/>
    <w:rsid w:val="00A57566"/>
    <w:rsid w:val="00A5789F"/>
    <w:rsid w:val="00A64A8F"/>
    <w:rsid w:val="00A64DE2"/>
    <w:rsid w:val="00A64EC0"/>
    <w:rsid w:val="00A673DA"/>
    <w:rsid w:val="00A7317C"/>
    <w:rsid w:val="00A733B2"/>
    <w:rsid w:val="00A80AF3"/>
    <w:rsid w:val="00A82C98"/>
    <w:rsid w:val="00A83446"/>
    <w:rsid w:val="00A8526C"/>
    <w:rsid w:val="00A92DAA"/>
    <w:rsid w:val="00A9372F"/>
    <w:rsid w:val="00A94B18"/>
    <w:rsid w:val="00AA06E4"/>
    <w:rsid w:val="00AA0C8A"/>
    <w:rsid w:val="00AA102E"/>
    <w:rsid w:val="00AA20F0"/>
    <w:rsid w:val="00AA23B2"/>
    <w:rsid w:val="00AA4282"/>
    <w:rsid w:val="00AA609E"/>
    <w:rsid w:val="00AB0D3B"/>
    <w:rsid w:val="00AB1799"/>
    <w:rsid w:val="00AB200F"/>
    <w:rsid w:val="00AB2E95"/>
    <w:rsid w:val="00AB7F89"/>
    <w:rsid w:val="00AC09B5"/>
    <w:rsid w:val="00AC252F"/>
    <w:rsid w:val="00AC3678"/>
    <w:rsid w:val="00AC5B40"/>
    <w:rsid w:val="00AC658B"/>
    <w:rsid w:val="00AC6EDA"/>
    <w:rsid w:val="00AD03EA"/>
    <w:rsid w:val="00AD1623"/>
    <w:rsid w:val="00AD27EC"/>
    <w:rsid w:val="00AD2A66"/>
    <w:rsid w:val="00AD3897"/>
    <w:rsid w:val="00AE02EE"/>
    <w:rsid w:val="00AE3A72"/>
    <w:rsid w:val="00AE3B1D"/>
    <w:rsid w:val="00AE54D4"/>
    <w:rsid w:val="00AE5E50"/>
    <w:rsid w:val="00AE6456"/>
    <w:rsid w:val="00AF05FC"/>
    <w:rsid w:val="00AF3348"/>
    <w:rsid w:val="00AF52A4"/>
    <w:rsid w:val="00AF5FF9"/>
    <w:rsid w:val="00AF6242"/>
    <w:rsid w:val="00B00EEF"/>
    <w:rsid w:val="00B04313"/>
    <w:rsid w:val="00B05429"/>
    <w:rsid w:val="00B05B5A"/>
    <w:rsid w:val="00B05D65"/>
    <w:rsid w:val="00B063C1"/>
    <w:rsid w:val="00B063E1"/>
    <w:rsid w:val="00B074C8"/>
    <w:rsid w:val="00B11123"/>
    <w:rsid w:val="00B116E9"/>
    <w:rsid w:val="00B122D9"/>
    <w:rsid w:val="00B12827"/>
    <w:rsid w:val="00B12867"/>
    <w:rsid w:val="00B13623"/>
    <w:rsid w:val="00B1367A"/>
    <w:rsid w:val="00B140FB"/>
    <w:rsid w:val="00B1437D"/>
    <w:rsid w:val="00B154E0"/>
    <w:rsid w:val="00B204A6"/>
    <w:rsid w:val="00B21C0A"/>
    <w:rsid w:val="00B248AF"/>
    <w:rsid w:val="00B25F7B"/>
    <w:rsid w:val="00B269E3"/>
    <w:rsid w:val="00B27F0A"/>
    <w:rsid w:val="00B30532"/>
    <w:rsid w:val="00B30BA3"/>
    <w:rsid w:val="00B33131"/>
    <w:rsid w:val="00B35BB5"/>
    <w:rsid w:val="00B40C44"/>
    <w:rsid w:val="00B426AC"/>
    <w:rsid w:val="00B42EAF"/>
    <w:rsid w:val="00B43167"/>
    <w:rsid w:val="00B43821"/>
    <w:rsid w:val="00B45FF2"/>
    <w:rsid w:val="00B50A68"/>
    <w:rsid w:val="00B5225A"/>
    <w:rsid w:val="00B52A1E"/>
    <w:rsid w:val="00B56986"/>
    <w:rsid w:val="00B570BC"/>
    <w:rsid w:val="00B60B8D"/>
    <w:rsid w:val="00B62036"/>
    <w:rsid w:val="00B633B5"/>
    <w:rsid w:val="00B63829"/>
    <w:rsid w:val="00B661D0"/>
    <w:rsid w:val="00B6769A"/>
    <w:rsid w:val="00B70A06"/>
    <w:rsid w:val="00B71ADD"/>
    <w:rsid w:val="00B71C1C"/>
    <w:rsid w:val="00B728F8"/>
    <w:rsid w:val="00B72AE2"/>
    <w:rsid w:val="00B7373C"/>
    <w:rsid w:val="00B750B7"/>
    <w:rsid w:val="00B769A6"/>
    <w:rsid w:val="00B77050"/>
    <w:rsid w:val="00B807D4"/>
    <w:rsid w:val="00B808FF"/>
    <w:rsid w:val="00B80F4D"/>
    <w:rsid w:val="00B81B37"/>
    <w:rsid w:val="00B828C1"/>
    <w:rsid w:val="00B82A32"/>
    <w:rsid w:val="00B84230"/>
    <w:rsid w:val="00B843EC"/>
    <w:rsid w:val="00B84BDA"/>
    <w:rsid w:val="00B8607B"/>
    <w:rsid w:val="00B863A1"/>
    <w:rsid w:val="00B87182"/>
    <w:rsid w:val="00B914EE"/>
    <w:rsid w:val="00B93A6E"/>
    <w:rsid w:val="00B9461E"/>
    <w:rsid w:val="00B94F8B"/>
    <w:rsid w:val="00B96398"/>
    <w:rsid w:val="00B97F32"/>
    <w:rsid w:val="00BA183A"/>
    <w:rsid w:val="00BA19AD"/>
    <w:rsid w:val="00BA39C1"/>
    <w:rsid w:val="00BA5587"/>
    <w:rsid w:val="00BA55FD"/>
    <w:rsid w:val="00BA5E29"/>
    <w:rsid w:val="00BA60FA"/>
    <w:rsid w:val="00BA6410"/>
    <w:rsid w:val="00BA7EA8"/>
    <w:rsid w:val="00BB29CA"/>
    <w:rsid w:val="00BB4730"/>
    <w:rsid w:val="00BB5540"/>
    <w:rsid w:val="00BB7889"/>
    <w:rsid w:val="00BC0299"/>
    <w:rsid w:val="00BC0505"/>
    <w:rsid w:val="00BC205B"/>
    <w:rsid w:val="00BC2B48"/>
    <w:rsid w:val="00BC35FB"/>
    <w:rsid w:val="00BC4BF8"/>
    <w:rsid w:val="00BC6AF0"/>
    <w:rsid w:val="00BC7209"/>
    <w:rsid w:val="00BC740E"/>
    <w:rsid w:val="00BD01AF"/>
    <w:rsid w:val="00BD2196"/>
    <w:rsid w:val="00BD4462"/>
    <w:rsid w:val="00BD4D60"/>
    <w:rsid w:val="00BD5E54"/>
    <w:rsid w:val="00BD7300"/>
    <w:rsid w:val="00BD7E43"/>
    <w:rsid w:val="00BE01B0"/>
    <w:rsid w:val="00BE1A71"/>
    <w:rsid w:val="00BE2E5D"/>
    <w:rsid w:val="00BE4897"/>
    <w:rsid w:val="00BE4DE7"/>
    <w:rsid w:val="00BE68EE"/>
    <w:rsid w:val="00BF15FD"/>
    <w:rsid w:val="00BF2F69"/>
    <w:rsid w:val="00BF3742"/>
    <w:rsid w:val="00BF69F5"/>
    <w:rsid w:val="00BF706B"/>
    <w:rsid w:val="00C003ED"/>
    <w:rsid w:val="00C035C6"/>
    <w:rsid w:val="00C03B77"/>
    <w:rsid w:val="00C06B91"/>
    <w:rsid w:val="00C0734D"/>
    <w:rsid w:val="00C07853"/>
    <w:rsid w:val="00C12DFE"/>
    <w:rsid w:val="00C164AA"/>
    <w:rsid w:val="00C16605"/>
    <w:rsid w:val="00C226BE"/>
    <w:rsid w:val="00C24826"/>
    <w:rsid w:val="00C2662C"/>
    <w:rsid w:val="00C267CE"/>
    <w:rsid w:val="00C31038"/>
    <w:rsid w:val="00C3217F"/>
    <w:rsid w:val="00C34B62"/>
    <w:rsid w:val="00C35366"/>
    <w:rsid w:val="00C35C07"/>
    <w:rsid w:val="00C364E7"/>
    <w:rsid w:val="00C41FF5"/>
    <w:rsid w:val="00C42744"/>
    <w:rsid w:val="00C441F0"/>
    <w:rsid w:val="00C45138"/>
    <w:rsid w:val="00C463CE"/>
    <w:rsid w:val="00C46689"/>
    <w:rsid w:val="00C50368"/>
    <w:rsid w:val="00C51448"/>
    <w:rsid w:val="00C5241F"/>
    <w:rsid w:val="00C53680"/>
    <w:rsid w:val="00C5388B"/>
    <w:rsid w:val="00C54CF2"/>
    <w:rsid w:val="00C555A1"/>
    <w:rsid w:val="00C561A1"/>
    <w:rsid w:val="00C573D5"/>
    <w:rsid w:val="00C61517"/>
    <w:rsid w:val="00C63A23"/>
    <w:rsid w:val="00C64706"/>
    <w:rsid w:val="00C65014"/>
    <w:rsid w:val="00C71DDA"/>
    <w:rsid w:val="00C74593"/>
    <w:rsid w:val="00C74F40"/>
    <w:rsid w:val="00C7776E"/>
    <w:rsid w:val="00C80BE2"/>
    <w:rsid w:val="00C81E0C"/>
    <w:rsid w:val="00C81FBB"/>
    <w:rsid w:val="00C8247C"/>
    <w:rsid w:val="00C82D22"/>
    <w:rsid w:val="00C8539C"/>
    <w:rsid w:val="00C85561"/>
    <w:rsid w:val="00C85F53"/>
    <w:rsid w:val="00C9160F"/>
    <w:rsid w:val="00C91C5B"/>
    <w:rsid w:val="00C92378"/>
    <w:rsid w:val="00C94606"/>
    <w:rsid w:val="00C94B85"/>
    <w:rsid w:val="00C954AC"/>
    <w:rsid w:val="00CA05CC"/>
    <w:rsid w:val="00CA1D50"/>
    <w:rsid w:val="00CA49E6"/>
    <w:rsid w:val="00CA5AA1"/>
    <w:rsid w:val="00CA6211"/>
    <w:rsid w:val="00CA63C8"/>
    <w:rsid w:val="00CA6475"/>
    <w:rsid w:val="00CA6A8F"/>
    <w:rsid w:val="00CB05AE"/>
    <w:rsid w:val="00CB05C5"/>
    <w:rsid w:val="00CB29DC"/>
    <w:rsid w:val="00CB2C21"/>
    <w:rsid w:val="00CB2C3A"/>
    <w:rsid w:val="00CB34EF"/>
    <w:rsid w:val="00CB57D9"/>
    <w:rsid w:val="00CB62A5"/>
    <w:rsid w:val="00CC1C97"/>
    <w:rsid w:val="00CC3719"/>
    <w:rsid w:val="00CC6200"/>
    <w:rsid w:val="00CC7045"/>
    <w:rsid w:val="00CC79AE"/>
    <w:rsid w:val="00CD0400"/>
    <w:rsid w:val="00CD0808"/>
    <w:rsid w:val="00CD226C"/>
    <w:rsid w:val="00CD2735"/>
    <w:rsid w:val="00CD3CD2"/>
    <w:rsid w:val="00CE3589"/>
    <w:rsid w:val="00CE3A85"/>
    <w:rsid w:val="00CE44AB"/>
    <w:rsid w:val="00CF0137"/>
    <w:rsid w:val="00CF1B8C"/>
    <w:rsid w:val="00CF1E07"/>
    <w:rsid w:val="00CF2B0C"/>
    <w:rsid w:val="00CF3783"/>
    <w:rsid w:val="00D009A5"/>
    <w:rsid w:val="00D027BB"/>
    <w:rsid w:val="00D035A2"/>
    <w:rsid w:val="00D04FCF"/>
    <w:rsid w:val="00D0541C"/>
    <w:rsid w:val="00D10E1E"/>
    <w:rsid w:val="00D119B8"/>
    <w:rsid w:val="00D12188"/>
    <w:rsid w:val="00D14F20"/>
    <w:rsid w:val="00D15596"/>
    <w:rsid w:val="00D157E4"/>
    <w:rsid w:val="00D224ED"/>
    <w:rsid w:val="00D2363F"/>
    <w:rsid w:val="00D24051"/>
    <w:rsid w:val="00D25731"/>
    <w:rsid w:val="00D26D57"/>
    <w:rsid w:val="00D304C7"/>
    <w:rsid w:val="00D32575"/>
    <w:rsid w:val="00D3282C"/>
    <w:rsid w:val="00D36860"/>
    <w:rsid w:val="00D40392"/>
    <w:rsid w:val="00D41340"/>
    <w:rsid w:val="00D434A1"/>
    <w:rsid w:val="00D43D33"/>
    <w:rsid w:val="00D43F53"/>
    <w:rsid w:val="00D4545C"/>
    <w:rsid w:val="00D45C2B"/>
    <w:rsid w:val="00D50616"/>
    <w:rsid w:val="00D50E7C"/>
    <w:rsid w:val="00D51C55"/>
    <w:rsid w:val="00D53555"/>
    <w:rsid w:val="00D53909"/>
    <w:rsid w:val="00D539C3"/>
    <w:rsid w:val="00D5725D"/>
    <w:rsid w:val="00D572CA"/>
    <w:rsid w:val="00D60E47"/>
    <w:rsid w:val="00D6164B"/>
    <w:rsid w:val="00D61F04"/>
    <w:rsid w:val="00D6640A"/>
    <w:rsid w:val="00D739B5"/>
    <w:rsid w:val="00D76955"/>
    <w:rsid w:val="00D76BE8"/>
    <w:rsid w:val="00D76FD2"/>
    <w:rsid w:val="00D80EB7"/>
    <w:rsid w:val="00D81F12"/>
    <w:rsid w:val="00D829CB"/>
    <w:rsid w:val="00D841D8"/>
    <w:rsid w:val="00D8543B"/>
    <w:rsid w:val="00D87F7E"/>
    <w:rsid w:val="00D91D0E"/>
    <w:rsid w:val="00D926F9"/>
    <w:rsid w:val="00D933D3"/>
    <w:rsid w:val="00D93A4E"/>
    <w:rsid w:val="00D93AD7"/>
    <w:rsid w:val="00D93C1F"/>
    <w:rsid w:val="00D93CE3"/>
    <w:rsid w:val="00D93FC9"/>
    <w:rsid w:val="00D94C2A"/>
    <w:rsid w:val="00D95140"/>
    <w:rsid w:val="00D95F5A"/>
    <w:rsid w:val="00D97FAB"/>
    <w:rsid w:val="00DA0CC6"/>
    <w:rsid w:val="00DA11FD"/>
    <w:rsid w:val="00DA210C"/>
    <w:rsid w:val="00DA389C"/>
    <w:rsid w:val="00DA53FD"/>
    <w:rsid w:val="00DA5527"/>
    <w:rsid w:val="00DA60A2"/>
    <w:rsid w:val="00DA6435"/>
    <w:rsid w:val="00DA6BE0"/>
    <w:rsid w:val="00DA77C2"/>
    <w:rsid w:val="00DB0AF1"/>
    <w:rsid w:val="00DB1564"/>
    <w:rsid w:val="00DB3DAB"/>
    <w:rsid w:val="00DB42DA"/>
    <w:rsid w:val="00DB4A1B"/>
    <w:rsid w:val="00DB4B33"/>
    <w:rsid w:val="00DB545B"/>
    <w:rsid w:val="00DB57DB"/>
    <w:rsid w:val="00DC1B4A"/>
    <w:rsid w:val="00DC1C8A"/>
    <w:rsid w:val="00DC2898"/>
    <w:rsid w:val="00DC330E"/>
    <w:rsid w:val="00DC37FC"/>
    <w:rsid w:val="00DC4F2C"/>
    <w:rsid w:val="00DC62C3"/>
    <w:rsid w:val="00DC6623"/>
    <w:rsid w:val="00DC747C"/>
    <w:rsid w:val="00DC7816"/>
    <w:rsid w:val="00DD2612"/>
    <w:rsid w:val="00DD2BF1"/>
    <w:rsid w:val="00DD5136"/>
    <w:rsid w:val="00DD614B"/>
    <w:rsid w:val="00DD6A57"/>
    <w:rsid w:val="00DE0002"/>
    <w:rsid w:val="00DE1111"/>
    <w:rsid w:val="00DE1602"/>
    <w:rsid w:val="00DE54CC"/>
    <w:rsid w:val="00DE5665"/>
    <w:rsid w:val="00DE75F1"/>
    <w:rsid w:val="00DE78EC"/>
    <w:rsid w:val="00DE796F"/>
    <w:rsid w:val="00DF27D2"/>
    <w:rsid w:val="00DF28C3"/>
    <w:rsid w:val="00DF4023"/>
    <w:rsid w:val="00DF6001"/>
    <w:rsid w:val="00DF698E"/>
    <w:rsid w:val="00E0170C"/>
    <w:rsid w:val="00E01F11"/>
    <w:rsid w:val="00E03BBD"/>
    <w:rsid w:val="00E042DB"/>
    <w:rsid w:val="00E05227"/>
    <w:rsid w:val="00E05736"/>
    <w:rsid w:val="00E065D0"/>
    <w:rsid w:val="00E06A47"/>
    <w:rsid w:val="00E06F67"/>
    <w:rsid w:val="00E12809"/>
    <w:rsid w:val="00E12F3D"/>
    <w:rsid w:val="00E174ED"/>
    <w:rsid w:val="00E177F2"/>
    <w:rsid w:val="00E20A59"/>
    <w:rsid w:val="00E22D61"/>
    <w:rsid w:val="00E24977"/>
    <w:rsid w:val="00E269F2"/>
    <w:rsid w:val="00E312D1"/>
    <w:rsid w:val="00E36AE1"/>
    <w:rsid w:val="00E36ED9"/>
    <w:rsid w:val="00E372D9"/>
    <w:rsid w:val="00E37E1E"/>
    <w:rsid w:val="00E4018D"/>
    <w:rsid w:val="00E41760"/>
    <w:rsid w:val="00E41D1A"/>
    <w:rsid w:val="00E43E7C"/>
    <w:rsid w:val="00E456E2"/>
    <w:rsid w:val="00E526D5"/>
    <w:rsid w:val="00E5587E"/>
    <w:rsid w:val="00E579A9"/>
    <w:rsid w:val="00E57C5F"/>
    <w:rsid w:val="00E611BC"/>
    <w:rsid w:val="00E632BF"/>
    <w:rsid w:val="00E63F57"/>
    <w:rsid w:val="00E64554"/>
    <w:rsid w:val="00E667A4"/>
    <w:rsid w:val="00E7200E"/>
    <w:rsid w:val="00E73DB2"/>
    <w:rsid w:val="00E74355"/>
    <w:rsid w:val="00E74AB3"/>
    <w:rsid w:val="00E74CB9"/>
    <w:rsid w:val="00E7561E"/>
    <w:rsid w:val="00E776BF"/>
    <w:rsid w:val="00E80D05"/>
    <w:rsid w:val="00E80D32"/>
    <w:rsid w:val="00E90B02"/>
    <w:rsid w:val="00E93C60"/>
    <w:rsid w:val="00E94671"/>
    <w:rsid w:val="00E94AC9"/>
    <w:rsid w:val="00E94ECC"/>
    <w:rsid w:val="00E96A2C"/>
    <w:rsid w:val="00EA0212"/>
    <w:rsid w:val="00EA177F"/>
    <w:rsid w:val="00EA2AE9"/>
    <w:rsid w:val="00EA2C4D"/>
    <w:rsid w:val="00EA36F5"/>
    <w:rsid w:val="00EA46C1"/>
    <w:rsid w:val="00EB0C98"/>
    <w:rsid w:val="00EB1D56"/>
    <w:rsid w:val="00EB2C0D"/>
    <w:rsid w:val="00EB3BC5"/>
    <w:rsid w:val="00EB4554"/>
    <w:rsid w:val="00EB46DE"/>
    <w:rsid w:val="00EB73BF"/>
    <w:rsid w:val="00EB79CC"/>
    <w:rsid w:val="00EB7A40"/>
    <w:rsid w:val="00EC0B41"/>
    <w:rsid w:val="00EC44F2"/>
    <w:rsid w:val="00EC54CE"/>
    <w:rsid w:val="00ED063B"/>
    <w:rsid w:val="00ED180D"/>
    <w:rsid w:val="00ED4812"/>
    <w:rsid w:val="00ED671C"/>
    <w:rsid w:val="00ED6DE9"/>
    <w:rsid w:val="00EE3172"/>
    <w:rsid w:val="00EE520C"/>
    <w:rsid w:val="00EE6670"/>
    <w:rsid w:val="00EE70CB"/>
    <w:rsid w:val="00EE7351"/>
    <w:rsid w:val="00EF0443"/>
    <w:rsid w:val="00EF06E5"/>
    <w:rsid w:val="00EF51C8"/>
    <w:rsid w:val="00EF55EA"/>
    <w:rsid w:val="00EF67AF"/>
    <w:rsid w:val="00EF7666"/>
    <w:rsid w:val="00EF7783"/>
    <w:rsid w:val="00F05C08"/>
    <w:rsid w:val="00F05C63"/>
    <w:rsid w:val="00F06EC4"/>
    <w:rsid w:val="00F129EF"/>
    <w:rsid w:val="00F13773"/>
    <w:rsid w:val="00F15FC6"/>
    <w:rsid w:val="00F1651A"/>
    <w:rsid w:val="00F16B52"/>
    <w:rsid w:val="00F17DB9"/>
    <w:rsid w:val="00F20A06"/>
    <w:rsid w:val="00F21082"/>
    <w:rsid w:val="00F2285C"/>
    <w:rsid w:val="00F2381A"/>
    <w:rsid w:val="00F24B31"/>
    <w:rsid w:val="00F24F19"/>
    <w:rsid w:val="00F27239"/>
    <w:rsid w:val="00F27AE2"/>
    <w:rsid w:val="00F27B95"/>
    <w:rsid w:val="00F3179C"/>
    <w:rsid w:val="00F3306D"/>
    <w:rsid w:val="00F34F26"/>
    <w:rsid w:val="00F354A0"/>
    <w:rsid w:val="00F35F16"/>
    <w:rsid w:val="00F36BFF"/>
    <w:rsid w:val="00F41863"/>
    <w:rsid w:val="00F41D63"/>
    <w:rsid w:val="00F4545E"/>
    <w:rsid w:val="00F4586B"/>
    <w:rsid w:val="00F45A67"/>
    <w:rsid w:val="00F5266C"/>
    <w:rsid w:val="00F52EDB"/>
    <w:rsid w:val="00F5324F"/>
    <w:rsid w:val="00F543F6"/>
    <w:rsid w:val="00F545F0"/>
    <w:rsid w:val="00F5542F"/>
    <w:rsid w:val="00F55495"/>
    <w:rsid w:val="00F55A0B"/>
    <w:rsid w:val="00F567A8"/>
    <w:rsid w:val="00F57125"/>
    <w:rsid w:val="00F601AE"/>
    <w:rsid w:val="00F60E45"/>
    <w:rsid w:val="00F60F41"/>
    <w:rsid w:val="00F62D03"/>
    <w:rsid w:val="00F65D86"/>
    <w:rsid w:val="00F66A6B"/>
    <w:rsid w:val="00F67097"/>
    <w:rsid w:val="00F6799F"/>
    <w:rsid w:val="00F714D4"/>
    <w:rsid w:val="00F715DB"/>
    <w:rsid w:val="00F72B7F"/>
    <w:rsid w:val="00F746F2"/>
    <w:rsid w:val="00F75EE7"/>
    <w:rsid w:val="00F764EB"/>
    <w:rsid w:val="00F7716B"/>
    <w:rsid w:val="00F776DF"/>
    <w:rsid w:val="00F800BD"/>
    <w:rsid w:val="00F82730"/>
    <w:rsid w:val="00F83E05"/>
    <w:rsid w:val="00F84619"/>
    <w:rsid w:val="00F85F8E"/>
    <w:rsid w:val="00F87199"/>
    <w:rsid w:val="00F8725B"/>
    <w:rsid w:val="00F90FA1"/>
    <w:rsid w:val="00F92947"/>
    <w:rsid w:val="00F94492"/>
    <w:rsid w:val="00FA27A4"/>
    <w:rsid w:val="00FA34E2"/>
    <w:rsid w:val="00FA604C"/>
    <w:rsid w:val="00FA7373"/>
    <w:rsid w:val="00FA7DCA"/>
    <w:rsid w:val="00FA7EA3"/>
    <w:rsid w:val="00FB3851"/>
    <w:rsid w:val="00FB4AD4"/>
    <w:rsid w:val="00FB7793"/>
    <w:rsid w:val="00FC0B72"/>
    <w:rsid w:val="00FC13A3"/>
    <w:rsid w:val="00FC15D3"/>
    <w:rsid w:val="00FC353F"/>
    <w:rsid w:val="00FC6B6B"/>
    <w:rsid w:val="00FC741D"/>
    <w:rsid w:val="00FD1161"/>
    <w:rsid w:val="00FE0720"/>
    <w:rsid w:val="00FE1BA4"/>
    <w:rsid w:val="00FE1D21"/>
    <w:rsid w:val="00FE25BF"/>
    <w:rsid w:val="00FE3C82"/>
    <w:rsid w:val="00FE3CB1"/>
    <w:rsid w:val="00FE5713"/>
    <w:rsid w:val="00FE5850"/>
    <w:rsid w:val="00FE5CA4"/>
    <w:rsid w:val="00FF04B6"/>
    <w:rsid w:val="00FF197A"/>
    <w:rsid w:val="00FF50E8"/>
    <w:rsid w:val="00FF616A"/>
    <w:rsid w:val="010D6029"/>
    <w:rsid w:val="01150C02"/>
    <w:rsid w:val="01444C23"/>
    <w:rsid w:val="01581EFF"/>
    <w:rsid w:val="01622C90"/>
    <w:rsid w:val="01847E7F"/>
    <w:rsid w:val="018549A9"/>
    <w:rsid w:val="019F3ABC"/>
    <w:rsid w:val="01AB1CEF"/>
    <w:rsid w:val="01B827B0"/>
    <w:rsid w:val="01C273A8"/>
    <w:rsid w:val="01FE5971"/>
    <w:rsid w:val="02135724"/>
    <w:rsid w:val="022D650F"/>
    <w:rsid w:val="022E53A7"/>
    <w:rsid w:val="02306AA8"/>
    <w:rsid w:val="023D0331"/>
    <w:rsid w:val="02427F50"/>
    <w:rsid w:val="024E517B"/>
    <w:rsid w:val="02512E1A"/>
    <w:rsid w:val="02567150"/>
    <w:rsid w:val="026836B3"/>
    <w:rsid w:val="02870EA4"/>
    <w:rsid w:val="02A31240"/>
    <w:rsid w:val="02B011B6"/>
    <w:rsid w:val="02BF0BAC"/>
    <w:rsid w:val="02D5209E"/>
    <w:rsid w:val="02F548F6"/>
    <w:rsid w:val="030A181D"/>
    <w:rsid w:val="032237A1"/>
    <w:rsid w:val="034F0C13"/>
    <w:rsid w:val="035A61BF"/>
    <w:rsid w:val="036C1A59"/>
    <w:rsid w:val="036F0EB4"/>
    <w:rsid w:val="03897EDB"/>
    <w:rsid w:val="038A0219"/>
    <w:rsid w:val="03956B35"/>
    <w:rsid w:val="03A30287"/>
    <w:rsid w:val="03A55777"/>
    <w:rsid w:val="03A96D28"/>
    <w:rsid w:val="03B52BCA"/>
    <w:rsid w:val="03C36E72"/>
    <w:rsid w:val="03C5329A"/>
    <w:rsid w:val="03D64DF8"/>
    <w:rsid w:val="03DE65EE"/>
    <w:rsid w:val="03E42A9A"/>
    <w:rsid w:val="041E4444"/>
    <w:rsid w:val="042022BF"/>
    <w:rsid w:val="043622F6"/>
    <w:rsid w:val="045B4473"/>
    <w:rsid w:val="04661F21"/>
    <w:rsid w:val="04800C6E"/>
    <w:rsid w:val="04986D55"/>
    <w:rsid w:val="04A44FFE"/>
    <w:rsid w:val="04A91DF8"/>
    <w:rsid w:val="04B62A38"/>
    <w:rsid w:val="04BC223F"/>
    <w:rsid w:val="04C66277"/>
    <w:rsid w:val="04CE3E38"/>
    <w:rsid w:val="04EF1A88"/>
    <w:rsid w:val="04FC3A37"/>
    <w:rsid w:val="053A4BC5"/>
    <w:rsid w:val="05530FC6"/>
    <w:rsid w:val="057279D8"/>
    <w:rsid w:val="058C11B9"/>
    <w:rsid w:val="05904691"/>
    <w:rsid w:val="05926AFC"/>
    <w:rsid w:val="059C68E4"/>
    <w:rsid w:val="05A84572"/>
    <w:rsid w:val="05A97F00"/>
    <w:rsid w:val="05C61CE8"/>
    <w:rsid w:val="05EB777A"/>
    <w:rsid w:val="06013C70"/>
    <w:rsid w:val="060E6ACB"/>
    <w:rsid w:val="061C2AE9"/>
    <w:rsid w:val="061C79F3"/>
    <w:rsid w:val="06290FB8"/>
    <w:rsid w:val="06345874"/>
    <w:rsid w:val="0639748E"/>
    <w:rsid w:val="06523D02"/>
    <w:rsid w:val="065345AD"/>
    <w:rsid w:val="0655782F"/>
    <w:rsid w:val="06AC005F"/>
    <w:rsid w:val="06BB176B"/>
    <w:rsid w:val="06C55C49"/>
    <w:rsid w:val="06D34D6C"/>
    <w:rsid w:val="06E50B28"/>
    <w:rsid w:val="06EF733A"/>
    <w:rsid w:val="07185196"/>
    <w:rsid w:val="071E130F"/>
    <w:rsid w:val="072D4490"/>
    <w:rsid w:val="0745692C"/>
    <w:rsid w:val="074E10C0"/>
    <w:rsid w:val="07732BAC"/>
    <w:rsid w:val="07844F6B"/>
    <w:rsid w:val="07941592"/>
    <w:rsid w:val="07964E02"/>
    <w:rsid w:val="07A15B94"/>
    <w:rsid w:val="07B0260C"/>
    <w:rsid w:val="07BE5A9D"/>
    <w:rsid w:val="07E26385"/>
    <w:rsid w:val="07E64BDF"/>
    <w:rsid w:val="07F47855"/>
    <w:rsid w:val="084A6CD6"/>
    <w:rsid w:val="084C427D"/>
    <w:rsid w:val="085F779C"/>
    <w:rsid w:val="08673385"/>
    <w:rsid w:val="087141F2"/>
    <w:rsid w:val="08A30D68"/>
    <w:rsid w:val="08AB4C8F"/>
    <w:rsid w:val="08B9315C"/>
    <w:rsid w:val="08BE0D91"/>
    <w:rsid w:val="08BF5598"/>
    <w:rsid w:val="08D64687"/>
    <w:rsid w:val="08E05248"/>
    <w:rsid w:val="09167F58"/>
    <w:rsid w:val="09174B3B"/>
    <w:rsid w:val="09175198"/>
    <w:rsid w:val="093F2EDD"/>
    <w:rsid w:val="09431783"/>
    <w:rsid w:val="0949606C"/>
    <w:rsid w:val="09661BF7"/>
    <w:rsid w:val="09731B77"/>
    <w:rsid w:val="09875616"/>
    <w:rsid w:val="09916CCE"/>
    <w:rsid w:val="09975029"/>
    <w:rsid w:val="099B5A5F"/>
    <w:rsid w:val="09A95F61"/>
    <w:rsid w:val="09B1358B"/>
    <w:rsid w:val="09C25ED1"/>
    <w:rsid w:val="09D9441D"/>
    <w:rsid w:val="09DE302C"/>
    <w:rsid w:val="09F7266F"/>
    <w:rsid w:val="0A1B3F65"/>
    <w:rsid w:val="0A52043D"/>
    <w:rsid w:val="0A5A6E6E"/>
    <w:rsid w:val="0A633748"/>
    <w:rsid w:val="0A6A01EB"/>
    <w:rsid w:val="0A6C425A"/>
    <w:rsid w:val="0A6E6F11"/>
    <w:rsid w:val="0A7E683C"/>
    <w:rsid w:val="0A7F607F"/>
    <w:rsid w:val="0A9110A8"/>
    <w:rsid w:val="0AAB0D8C"/>
    <w:rsid w:val="0AD75D23"/>
    <w:rsid w:val="0AE41FD3"/>
    <w:rsid w:val="0AE80DAF"/>
    <w:rsid w:val="0AF85654"/>
    <w:rsid w:val="0AFD0EBC"/>
    <w:rsid w:val="0B0B5B60"/>
    <w:rsid w:val="0B196048"/>
    <w:rsid w:val="0B1F67D0"/>
    <w:rsid w:val="0B371721"/>
    <w:rsid w:val="0B3D4A50"/>
    <w:rsid w:val="0B440CAC"/>
    <w:rsid w:val="0B5F215F"/>
    <w:rsid w:val="0B703519"/>
    <w:rsid w:val="0B833DDD"/>
    <w:rsid w:val="0B94054D"/>
    <w:rsid w:val="0B9B7535"/>
    <w:rsid w:val="0BB91FB4"/>
    <w:rsid w:val="0BC63B89"/>
    <w:rsid w:val="0BC72419"/>
    <w:rsid w:val="0BCC4018"/>
    <w:rsid w:val="0BD46270"/>
    <w:rsid w:val="0BDA68AB"/>
    <w:rsid w:val="0C0A359C"/>
    <w:rsid w:val="0C115E04"/>
    <w:rsid w:val="0C20321C"/>
    <w:rsid w:val="0C2277D0"/>
    <w:rsid w:val="0C236700"/>
    <w:rsid w:val="0C554E4C"/>
    <w:rsid w:val="0C6F5BBC"/>
    <w:rsid w:val="0C996DF0"/>
    <w:rsid w:val="0CCE2CD8"/>
    <w:rsid w:val="0CDD4844"/>
    <w:rsid w:val="0CE10850"/>
    <w:rsid w:val="0D122923"/>
    <w:rsid w:val="0D190C80"/>
    <w:rsid w:val="0D500BC0"/>
    <w:rsid w:val="0D5469F9"/>
    <w:rsid w:val="0D58608A"/>
    <w:rsid w:val="0D703BC7"/>
    <w:rsid w:val="0D8719B4"/>
    <w:rsid w:val="0D8F248A"/>
    <w:rsid w:val="0D981675"/>
    <w:rsid w:val="0DC13E52"/>
    <w:rsid w:val="0DDE1327"/>
    <w:rsid w:val="0E281782"/>
    <w:rsid w:val="0E386770"/>
    <w:rsid w:val="0E430569"/>
    <w:rsid w:val="0E5044B2"/>
    <w:rsid w:val="0E582198"/>
    <w:rsid w:val="0E7B7F5C"/>
    <w:rsid w:val="0E906C64"/>
    <w:rsid w:val="0EAA3A98"/>
    <w:rsid w:val="0EC339E7"/>
    <w:rsid w:val="0EC637EF"/>
    <w:rsid w:val="0EE16C59"/>
    <w:rsid w:val="0EEC0B0B"/>
    <w:rsid w:val="0F091B8B"/>
    <w:rsid w:val="0F1322B7"/>
    <w:rsid w:val="0F1D6C93"/>
    <w:rsid w:val="0F49703D"/>
    <w:rsid w:val="0F8041BF"/>
    <w:rsid w:val="0F8F086B"/>
    <w:rsid w:val="0F9B3331"/>
    <w:rsid w:val="0FA405E3"/>
    <w:rsid w:val="0FA41FAE"/>
    <w:rsid w:val="0FDE4863"/>
    <w:rsid w:val="0FE1505F"/>
    <w:rsid w:val="0FF244A5"/>
    <w:rsid w:val="0FF35CDA"/>
    <w:rsid w:val="100D29CD"/>
    <w:rsid w:val="101B22CC"/>
    <w:rsid w:val="10443A71"/>
    <w:rsid w:val="1065238B"/>
    <w:rsid w:val="10872FC1"/>
    <w:rsid w:val="108E6D33"/>
    <w:rsid w:val="109934F4"/>
    <w:rsid w:val="10A5416A"/>
    <w:rsid w:val="10C83DC0"/>
    <w:rsid w:val="10D41F8D"/>
    <w:rsid w:val="10E16B8A"/>
    <w:rsid w:val="10E22EBC"/>
    <w:rsid w:val="10E672F5"/>
    <w:rsid w:val="11150799"/>
    <w:rsid w:val="11206C01"/>
    <w:rsid w:val="112E1D6D"/>
    <w:rsid w:val="11311DF3"/>
    <w:rsid w:val="114E6CC9"/>
    <w:rsid w:val="11572637"/>
    <w:rsid w:val="11661028"/>
    <w:rsid w:val="116E1037"/>
    <w:rsid w:val="118518BB"/>
    <w:rsid w:val="120652D0"/>
    <w:rsid w:val="12130FC5"/>
    <w:rsid w:val="121801C3"/>
    <w:rsid w:val="12211934"/>
    <w:rsid w:val="123B458E"/>
    <w:rsid w:val="123C0B1A"/>
    <w:rsid w:val="12446EE8"/>
    <w:rsid w:val="1251734D"/>
    <w:rsid w:val="127F30D9"/>
    <w:rsid w:val="12BE3205"/>
    <w:rsid w:val="12C57644"/>
    <w:rsid w:val="12CC3709"/>
    <w:rsid w:val="12E50158"/>
    <w:rsid w:val="12F30603"/>
    <w:rsid w:val="12F619CD"/>
    <w:rsid w:val="130C6B00"/>
    <w:rsid w:val="13206333"/>
    <w:rsid w:val="133A240F"/>
    <w:rsid w:val="135F769C"/>
    <w:rsid w:val="13624F4D"/>
    <w:rsid w:val="136A14BF"/>
    <w:rsid w:val="13777B09"/>
    <w:rsid w:val="13A97321"/>
    <w:rsid w:val="13AF1F87"/>
    <w:rsid w:val="13DE7C7B"/>
    <w:rsid w:val="13E03A8E"/>
    <w:rsid w:val="13E3604E"/>
    <w:rsid w:val="14182A3B"/>
    <w:rsid w:val="141C43B2"/>
    <w:rsid w:val="14371719"/>
    <w:rsid w:val="14572884"/>
    <w:rsid w:val="145D5851"/>
    <w:rsid w:val="147B4FA6"/>
    <w:rsid w:val="14812B5E"/>
    <w:rsid w:val="14941B01"/>
    <w:rsid w:val="14A177C2"/>
    <w:rsid w:val="14D513FA"/>
    <w:rsid w:val="14F938EA"/>
    <w:rsid w:val="15082B17"/>
    <w:rsid w:val="150E0333"/>
    <w:rsid w:val="15107F73"/>
    <w:rsid w:val="153B0AA7"/>
    <w:rsid w:val="15541DBE"/>
    <w:rsid w:val="15590ED4"/>
    <w:rsid w:val="15703044"/>
    <w:rsid w:val="15B90272"/>
    <w:rsid w:val="15F4789A"/>
    <w:rsid w:val="15FB183B"/>
    <w:rsid w:val="15FE43F8"/>
    <w:rsid w:val="160826A2"/>
    <w:rsid w:val="16325EA6"/>
    <w:rsid w:val="165D0B0E"/>
    <w:rsid w:val="16736D75"/>
    <w:rsid w:val="16931D91"/>
    <w:rsid w:val="169D542A"/>
    <w:rsid w:val="16A94380"/>
    <w:rsid w:val="16AA4D8F"/>
    <w:rsid w:val="16B1020B"/>
    <w:rsid w:val="16B54D41"/>
    <w:rsid w:val="16C46E48"/>
    <w:rsid w:val="16E34D2B"/>
    <w:rsid w:val="16F04608"/>
    <w:rsid w:val="17010BE2"/>
    <w:rsid w:val="170F5714"/>
    <w:rsid w:val="17190E2C"/>
    <w:rsid w:val="171C4DC0"/>
    <w:rsid w:val="172D5A64"/>
    <w:rsid w:val="173D7210"/>
    <w:rsid w:val="17524D0D"/>
    <w:rsid w:val="175748EA"/>
    <w:rsid w:val="175A71B5"/>
    <w:rsid w:val="177C050D"/>
    <w:rsid w:val="17913371"/>
    <w:rsid w:val="17946BF9"/>
    <w:rsid w:val="17950D66"/>
    <w:rsid w:val="17A43253"/>
    <w:rsid w:val="17CA56FB"/>
    <w:rsid w:val="17D359F1"/>
    <w:rsid w:val="17D41587"/>
    <w:rsid w:val="17ED06B7"/>
    <w:rsid w:val="17EE4B0D"/>
    <w:rsid w:val="17F768EC"/>
    <w:rsid w:val="17FB60AF"/>
    <w:rsid w:val="18195648"/>
    <w:rsid w:val="181F3D68"/>
    <w:rsid w:val="182E7374"/>
    <w:rsid w:val="183D7039"/>
    <w:rsid w:val="184E2782"/>
    <w:rsid w:val="18595E13"/>
    <w:rsid w:val="185B1971"/>
    <w:rsid w:val="18893A3F"/>
    <w:rsid w:val="188E5E6D"/>
    <w:rsid w:val="18964AE9"/>
    <w:rsid w:val="18A17196"/>
    <w:rsid w:val="18A239A3"/>
    <w:rsid w:val="18BD1C8B"/>
    <w:rsid w:val="18C13BAA"/>
    <w:rsid w:val="18C829D0"/>
    <w:rsid w:val="18D52BA3"/>
    <w:rsid w:val="18EB3286"/>
    <w:rsid w:val="18EE361E"/>
    <w:rsid w:val="19034F65"/>
    <w:rsid w:val="19095E0F"/>
    <w:rsid w:val="19286E4A"/>
    <w:rsid w:val="192D2175"/>
    <w:rsid w:val="194E008A"/>
    <w:rsid w:val="19AA508F"/>
    <w:rsid w:val="19B27315"/>
    <w:rsid w:val="19B80704"/>
    <w:rsid w:val="19BF7295"/>
    <w:rsid w:val="19C17931"/>
    <w:rsid w:val="19D5500F"/>
    <w:rsid w:val="19D973CC"/>
    <w:rsid w:val="19F63CB3"/>
    <w:rsid w:val="1A2D5F9B"/>
    <w:rsid w:val="1A530C7E"/>
    <w:rsid w:val="1A5D2E25"/>
    <w:rsid w:val="1A63676C"/>
    <w:rsid w:val="1A6B5026"/>
    <w:rsid w:val="1A760C33"/>
    <w:rsid w:val="1A7D0846"/>
    <w:rsid w:val="1A815788"/>
    <w:rsid w:val="1A892AEA"/>
    <w:rsid w:val="1A8A3DEE"/>
    <w:rsid w:val="1AB048AE"/>
    <w:rsid w:val="1AB10B85"/>
    <w:rsid w:val="1AF5100A"/>
    <w:rsid w:val="1B0717FF"/>
    <w:rsid w:val="1B102F49"/>
    <w:rsid w:val="1B251779"/>
    <w:rsid w:val="1B3259F9"/>
    <w:rsid w:val="1B3A29C5"/>
    <w:rsid w:val="1B5C2129"/>
    <w:rsid w:val="1B701B84"/>
    <w:rsid w:val="1B7A162B"/>
    <w:rsid w:val="1B81376A"/>
    <w:rsid w:val="1B9C049F"/>
    <w:rsid w:val="1BAA299A"/>
    <w:rsid w:val="1BB71D17"/>
    <w:rsid w:val="1BBF1026"/>
    <w:rsid w:val="1C0D2F69"/>
    <w:rsid w:val="1C111BC7"/>
    <w:rsid w:val="1C1569AB"/>
    <w:rsid w:val="1C40471B"/>
    <w:rsid w:val="1C6B37EA"/>
    <w:rsid w:val="1C964A9F"/>
    <w:rsid w:val="1C985539"/>
    <w:rsid w:val="1C9B4E2C"/>
    <w:rsid w:val="1CDA620C"/>
    <w:rsid w:val="1CDD107A"/>
    <w:rsid w:val="1D0C2CCB"/>
    <w:rsid w:val="1D0E309F"/>
    <w:rsid w:val="1D113D97"/>
    <w:rsid w:val="1D126322"/>
    <w:rsid w:val="1D294556"/>
    <w:rsid w:val="1D306ECF"/>
    <w:rsid w:val="1D4363B9"/>
    <w:rsid w:val="1D4576F4"/>
    <w:rsid w:val="1D587BEF"/>
    <w:rsid w:val="1D7842C5"/>
    <w:rsid w:val="1D7A416F"/>
    <w:rsid w:val="1D7B401D"/>
    <w:rsid w:val="1D89407D"/>
    <w:rsid w:val="1D8A66BC"/>
    <w:rsid w:val="1DBC6252"/>
    <w:rsid w:val="1DC83F0C"/>
    <w:rsid w:val="1DEF178B"/>
    <w:rsid w:val="1DF16961"/>
    <w:rsid w:val="1DF764D6"/>
    <w:rsid w:val="1E152044"/>
    <w:rsid w:val="1E170E52"/>
    <w:rsid w:val="1E43030F"/>
    <w:rsid w:val="1E633011"/>
    <w:rsid w:val="1E894BEB"/>
    <w:rsid w:val="1E94421F"/>
    <w:rsid w:val="1EB75A57"/>
    <w:rsid w:val="1EC92998"/>
    <w:rsid w:val="1EDC22FA"/>
    <w:rsid w:val="1EFC4C1F"/>
    <w:rsid w:val="1F050AA0"/>
    <w:rsid w:val="1F156006"/>
    <w:rsid w:val="1F1D78DB"/>
    <w:rsid w:val="1F3201FC"/>
    <w:rsid w:val="1F5153EA"/>
    <w:rsid w:val="1F5B37D6"/>
    <w:rsid w:val="1F864E57"/>
    <w:rsid w:val="1F9966D3"/>
    <w:rsid w:val="1F9E0678"/>
    <w:rsid w:val="1FA75ADB"/>
    <w:rsid w:val="1FCC7A46"/>
    <w:rsid w:val="1FCF33A4"/>
    <w:rsid w:val="1FEA3085"/>
    <w:rsid w:val="1FF53535"/>
    <w:rsid w:val="1FFF3E3A"/>
    <w:rsid w:val="2000282C"/>
    <w:rsid w:val="200D31CF"/>
    <w:rsid w:val="20132ED5"/>
    <w:rsid w:val="201A443E"/>
    <w:rsid w:val="201E5EB8"/>
    <w:rsid w:val="20560588"/>
    <w:rsid w:val="20904F92"/>
    <w:rsid w:val="209C5E5F"/>
    <w:rsid w:val="20B63BA0"/>
    <w:rsid w:val="20DC5A94"/>
    <w:rsid w:val="20E61D6C"/>
    <w:rsid w:val="21146B98"/>
    <w:rsid w:val="21155FCC"/>
    <w:rsid w:val="212854D2"/>
    <w:rsid w:val="21582178"/>
    <w:rsid w:val="215B4D79"/>
    <w:rsid w:val="21837F15"/>
    <w:rsid w:val="21871BB5"/>
    <w:rsid w:val="2188310E"/>
    <w:rsid w:val="21924209"/>
    <w:rsid w:val="21A34516"/>
    <w:rsid w:val="21B05AC2"/>
    <w:rsid w:val="21B234A1"/>
    <w:rsid w:val="21B303FB"/>
    <w:rsid w:val="21BD294A"/>
    <w:rsid w:val="21CC78BF"/>
    <w:rsid w:val="21EB6C09"/>
    <w:rsid w:val="221E169A"/>
    <w:rsid w:val="221E6720"/>
    <w:rsid w:val="2223410E"/>
    <w:rsid w:val="22281D1A"/>
    <w:rsid w:val="226D3B2D"/>
    <w:rsid w:val="22854D90"/>
    <w:rsid w:val="22AF4D8C"/>
    <w:rsid w:val="22B36E1B"/>
    <w:rsid w:val="22B85789"/>
    <w:rsid w:val="22C13CC6"/>
    <w:rsid w:val="23190DBD"/>
    <w:rsid w:val="23234C69"/>
    <w:rsid w:val="232E2103"/>
    <w:rsid w:val="23A2012F"/>
    <w:rsid w:val="23AC58D6"/>
    <w:rsid w:val="23AC5F1A"/>
    <w:rsid w:val="23B55A04"/>
    <w:rsid w:val="23BF0FAD"/>
    <w:rsid w:val="240C270A"/>
    <w:rsid w:val="242475C4"/>
    <w:rsid w:val="242B4894"/>
    <w:rsid w:val="2443398C"/>
    <w:rsid w:val="247A2070"/>
    <w:rsid w:val="24822C43"/>
    <w:rsid w:val="24C12B83"/>
    <w:rsid w:val="24C93466"/>
    <w:rsid w:val="24CD7B49"/>
    <w:rsid w:val="24D039B8"/>
    <w:rsid w:val="24E11406"/>
    <w:rsid w:val="252678B3"/>
    <w:rsid w:val="253027D5"/>
    <w:rsid w:val="253059AF"/>
    <w:rsid w:val="253D1E07"/>
    <w:rsid w:val="254845E1"/>
    <w:rsid w:val="256408F0"/>
    <w:rsid w:val="25741B04"/>
    <w:rsid w:val="25876F55"/>
    <w:rsid w:val="2589016F"/>
    <w:rsid w:val="259073F9"/>
    <w:rsid w:val="259A64E5"/>
    <w:rsid w:val="25B439D2"/>
    <w:rsid w:val="25F04825"/>
    <w:rsid w:val="25F16C9A"/>
    <w:rsid w:val="2600168C"/>
    <w:rsid w:val="26084367"/>
    <w:rsid w:val="260A502D"/>
    <w:rsid w:val="26244F1F"/>
    <w:rsid w:val="26414809"/>
    <w:rsid w:val="26480B84"/>
    <w:rsid w:val="26B24C4D"/>
    <w:rsid w:val="26B9206F"/>
    <w:rsid w:val="26C71E6F"/>
    <w:rsid w:val="26D82116"/>
    <w:rsid w:val="27131F81"/>
    <w:rsid w:val="271A50BA"/>
    <w:rsid w:val="273B3495"/>
    <w:rsid w:val="273D3956"/>
    <w:rsid w:val="27403289"/>
    <w:rsid w:val="27495DBA"/>
    <w:rsid w:val="274E5E45"/>
    <w:rsid w:val="27534118"/>
    <w:rsid w:val="27755169"/>
    <w:rsid w:val="27773D0C"/>
    <w:rsid w:val="27922BF2"/>
    <w:rsid w:val="27A55F16"/>
    <w:rsid w:val="27A73574"/>
    <w:rsid w:val="27B81027"/>
    <w:rsid w:val="27C15CF8"/>
    <w:rsid w:val="27D77CF4"/>
    <w:rsid w:val="27E90FA6"/>
    <w:rsid w:val="27EB3A8A"/>
    <w:rsid w:val="27EB7BE9"/>
    <w:rsid w:val="27F063C0"/>
    <w:rsid w:val="28075504"/>
    <w:rsid w:val="28176273"/>
    <w:rsid w:val="285A2A5A"/>
    <w:rsid w:val="28616275"/>
    <w:rsid w:val="28825673"/>
    <w:rsid w:val="28B20779"/>
    <w:rsid w:val="28C013CC"/>
    <w:rsid w:val="28C0366E"/>
    <w:rsid w:val="28C14624"/>
    <w:rsid w:val="28D166D9"/>
    <w:rsid w:val="28E15017"/>
    <w:rsid w:val="29022771"/>
    <w:rsid w:val="290309EC"/>
    <w:rsid w:val="290D27BA"/>
    <w:rsid w:val="29172DCC"/>
    <w:rsid w:val="291909E1"/>
    <w:rsid w:val="291F33E2"/>
    <w:rsid w:val="29284336"/>
    <w:rsid w:val="293A6A45"/>
    <w:rsid w:val="293B70B9"/>
    <w:rsid w:val="294317BB"/>
    <w:rsid w:val="294776B5"/>
    <w:rsid w:val="295100D2"/>
    <w:rsid w:val="295E2ECF"/>
    <w:rsid w:val="295F5795"/>
    <w:rsid w:val="296F277F"/>
    <w:rsid w:val="29707501"/>
    <w:rsid w:val="2971189C"/>
    <w:rsid w:val="2971327D"/>
    <w:rsid w:val="29B760DB"/>
    <w:rsid w:val="29BD41DB"/>
    <w:rsid w:val="29D951E4"/>
    <w:rsid w:val="29EA4639"/>
    <w:rsid w:val="2A065978"/>
    <w:rsid w:val="2A1C296F"/>
    <w:rsid w:val="2A334560"/>
    <w:rsid w:val="2A4E146D"/>
    <w:rsid w:val="2A63252B"/>
    <w:rsid w:val="2A63548F"/>
    <w:rsid w:val="2A6C0D97"/>
    <w:rsid w:val="2A7405A2"/>
    <w:rsid w:val="2A765584"/>
    <w:rsid w:val="2A7B630D"/>
    <w:rsid w:val="2A7D4BD9"/>
    <w:rsid w:val="2ABB5643"/>
    <w:rsid w:val="2AC35C6C"/>
    <w:rsid w:val="2ACD2201"/>
    <w:rsid w:val="2AF26445"/>
    <w:rsid w:val="2B0137CE"/>
    <w:rsid w:val="2B0D648E"/>
    <w:rsid w:val="2B315212"/>
    <w:rsid w:val="2B580132"/>
    <w:rsid w:val="2B864C29"/>
    <w:rsid w:val="2B907453"/>
    <w:rsid w:val="2BDF043E"/>
    <w:rsid w:val="2C006FE5"/>
    <w:rsid w:val="2C03105D"/>
    <w:rsid w:val="2C1955F6"/>
    <w:rsid w:val="2C3473EA"/>
    <w:rsid w:val="2C42327B"/>
    <w:rsid w:val="2C5210B8"/>
    <w:rsid w:val="2C674101"/>
    <w:rsid w:val="2C6D337B"/>
    <w:rsid w:val="2C7D3953"/>
    <w:rsid w:val="2C860BC9"/>
    <w:rsid w:val="2C881227"/>
    <w:rsid w:val="2C936A75"/>
    <w:rsid w:val="2CA11018"/>
    <w:rsid w:val="2CAA3130"/>
    <w:rsid w:val="2CAE2083"/>
    <w:rsid w:val="2CCE0642"/>
    <w:rsid w:val="2CEB75CB"/>
    <w:rsid w:val="2CEF58C8"/>
    <w:rsid w:val="2CFA16CE"/>
    <w:rsid w:val="2D0F6B01"/>
    <w:rsid w:val="2D126EF3"/>
    <w:rsid w:val="2D153E6F"/>
    <w:rsid w:val="2D1D66BB"/>
    <w:rsid w:val="2D3D73F4"/>
    <w:rsid w:val="2D482F6E"/>
    <w:rsid w:val="2D54649A"/>
    <w:rsid w:val="2D675FF9"/>
    <w:rsid w:val="2D700935"/>
    <w:rsid w:val="2D796199"/>
    <w:rsid w:val="2D7C3A6A"/>
    <w:rsid w:val="2D820189"/>
    <w:rsid w:val="2DAD64C2"/>
    <w:rsid w:val="2DB158B8"/>
    <w:rsid w:val="2DB94ED3"/>
    <w:rsid w:val="2DC00D9C"/>
    <w:rsid w:val="2DDF5A8A"/>
    <w:rsid w:val="2DF76030"/>
    <w:rsid w:val="2DFD0E25"/>
    <w:rsid w:val="2E175D4A"/>
    <w:rsid w:val="2E1B3283"/>
    <w:rsid w:val="2E2851FC"/>
    <w:rsid w:val="2E556939"/>
    <w:rsid w:val="2E69283F"/>
    <w:rsid w:val="2E71719A"/>
    <w:rsid w:val="2E8860D7"/>
    <w:rsid w:val="2E8E3E96"/>
    <w:rsid w:val="2E91110A"/>
    <w:rsid w:val="2EB9012F"/>
    <w:rsid w:val="2EBC0FFC"/>
    <w:rsid w:val="2EC61BE0"/>
    <w:rsid w:val="2EF626FC"/>
    <w:rsid w:val="2EFA2DD0"/>
    <w:rsid w:val="2F18237F"/>
    <w:rsid w:val="2F324AFA"/>
    <w:rsid w:val="2F793A1F"/>
    <w:rsid w:val="2FBE5E70"/>
    <w:rsid w:val="2FC512EB"/>
    <w:rsid w:val="2FDC7973"/>
    <w:rsid w:val="2FDD1765"/>
    <w:rsid w:val="2FED007D"/>
    <w:rsid w:val="2FF515C1"/>
    <w:rsid w:val="30304AD8"/>
    <w:rsid w:val="30517430"/>
    <w:rsid w:val="305A25CA"/>
    <w:rsid w:val="305A358D"/>
    <w:rsid w:val="307B7BCB"/>
    <w:rsid w:val="307C20CC"/>
    <w:rsid w:val="307D1EE9"/>
    <w:rsid w:val="30840E3A"/>
    <w:rsid w:val="309A078B"/>
    <w:rsid w:val="309E0301"/>
    <w:rsid w:val="30A2417F"/>
    <w:rsid w:val="30B56B87"/>
    <w:rsid w:val="30BD2378"/>
    <w:rsid w:val="30BF083E"/>
    <w:rsid w:val="30C84CFD"/>
    <w:rsid w:val="30CF443A"/>
    <w:rsid w:val="30E0119B"/>
    <w:rsid w:val="310C06BA"/>
    <w:rsid w:val="31102F1D"/>
    <w:rsid w:val="311651B3"/>
    <w:rsid w:val="31243B52"/>
    <w:rsid w:val="31416976"/>
    <w:rsid w:val="31537479"/>
    <w:rsid w:val="31784AE8"/>
    <w:rsid w:val="318D6246"/>
    <w:rsid w:val="319724C7"/>
    <w:rsid w:val="31B275A6"/>
    <w:rsid w:val="32096471"/>
    <w:rsid w:val="323919BF"/>
    <w:rsid w:val="323B0398"/>
    <w:rsid w:val="323D4DFB"/>
    <w:rsid w:val="32414CC5"/>
    <w:rsid w:val="32A051CF"/>
    <w:rsid w:val="32B0652F"/>
    <w:rsid w:val="32B933AA"/>
    <w:rsid w:val="32BA22BF"/>
    <w:rsid w:val="32CA5A5A"/>
    <w:rsid w:val="32CE4D43"/>
    <w:rsid w:val="32E54382"/>
    <w:rsid w:val="33126618"/>
    <w:rsid w:val="33235D26"/>
    <w:rsid w:val="33376662"/>
    <w:rsid w:val="33414AF4"/>
    <w:rsid w:val="33520C56"/>
    <w:rsid w:val="335F6856"/>
    <w:rsid w:val="33614230"/>
    <w:rsid w:val="336C1292"/>
    <w:rsid w:val="337B4EF0"/>
    <w:rsid w:val="33951FE7"/>
    <w:rsid w:val="339D4D53"/>
    <w:rsid w:val="33AD2F83"/>
    <w:rsid w:val="33B977C6"/>
    <w:rsid w:val="33C14F23"/>
    <w:rsid w:val="33C865A7"/>
    <w:rsid w:val="33CD0B87"/>
    <w:rsid w:val="33CF6FEA"/>
    <w:rsid w:val="33E016F0"/>
    <w:rsid w:val="33EB2CA9"/>
    <w:rsid w:val="33EB44C6"/>
    <w:rsid w:val="33EC3CFB"/>
    <w:rsid w:val="33F93D13"/>
    <w:rsid w:val="340400EB"/>
    <w:rsid w:val="342C231A"/>
    <w:rsid w:val="34303D2D"/>
    <w:rsid w:val="34764470"/>
    <w:rsid w:val="34774FBA"/>
    <w:rsid w:val="34C05176"/>
    <w:rsid w:val="34EE0865"/>
    <w:rsid w:val="35427AE2"/>
    <w:rsid w:val="35500404"/>
    <w:rsid w:val="3561143F"/>
    <w:rsid w:val="35634ED4"/>
    <w:rsid w:val="35846797"/>
    <w:rsid w:val="358E47A1"/>
    <w:rsid w:val="35922BAF"/>
    <w:rsid w:val="35A006A3"/>
    <w:rsid w:val="35B677EA"/>
    <w:rsid w:val="35D858DB"/>
    <w:rsid w:val="35E24B4B"/>
    <w:rsid w:val="35F75641"/>
    <w:rsid w:val="360C6064"/>
    <w:rsid w:val="362F31DF"/>
    <w:rsid w:val="36362FDB"/>
    <w:rsid w:val="36414E27"/>
    <w:rsid w:val="364C1790"/>
    <w:rsid w:val="368A5FB2"/>
    <w:rsid w:val="368B4F99"/>
    <w:rsid w:val="368C528C"/>
    <w:rsid w:val="36946BCD"/>
    <w:rsid w:val="36B134F2"/>
    <w:rsid w:val="36B95A29"/>
    <w:rsid w:val="36BC0BAA"/>
    <w:rsid w:val="36C56482"/>
    <w:rsid w:val="36D8168E"/>
    <w:rsid w:val="36DA1718"/>
    <w:rsid w:val="36DD0C6B"/>
    <w:rsid w:val="371929A3"/>
    <w:rsid w:val="37306488"/>
    <w:rsid w:val="37513852"/>
    <w:rsid w:val="37583D46"/>
    <w:rsid w:val="37616CA1"/>
    <w:rsid w:val="37C72A91"/>
    <w:rsid w:val="37ED6887"/>
    <w:rsid w:val="37F406F2"/>
    <w:rsid w:val="37FB6841"/>
    <w:rsid w:val="382741A2"/>
    <w:rsid w:val="382F5D44"/>
    <w:rsid w:val="383438BF"/>
    <w:rsid w:val="384F5478"/>
    <w:rsid w:val="38566CC6"/>
    <w:rsid w:val="38592E9F"/>
    <w:rsid w:val="386A2348"/>
    <w:rsid w:val="38774BBB"/>
    <w:rsid w:val="38A77DF2"/>
    <w:rsid w:val="38B216FA"/>
    <w:rsid w:val="38BE6B50"/>
    <w:rsid w:val="38CE06D6"/>
    <w:rsid w:val="38D22546"/>
    <w:rsid w:val="38D57F15"/>
    <w:rsid w:val="38DB25D2"/>
    <w:rsid w:val="38FA3E62"/>
    <w:rsid w:val="39497482"/>
    <w:rsid w:val="395A1EE0"/>
    <w:rsid w:val="39692945"/>
    <w:rsid w:val="396B4950"/>
    <w:rsid w:val="396C5553"/>
    <w:rsid w:val="39702B96"/>
    <w:rsid w:val="397F2F5C"/>
    <w:rsid w:val="398055EA"/>
    <w:rsid w:val="39842625"/>
    <w:rsid w:val="399D277B"/>
    <w:rsid w:val="39A82630"/>
    <w:rsid w:val="39AD030B"/>
    <w:rsid w:val="39CE2ADD"/>
    <w:rsid w:val="39D31931"/>
    <w:rsid w:val="39D35D21"/>
    <w:rsid w:val="39F07CBA"/>
    <w:rsid w:val="39F30145"/>
    <w:rsid w:val="39FE1E53"/>
    <w:rsid w:val="3A0D7F64"/>
    <w:rsid w:val="3A103E06"/>
    <w:rsid w:val="3A296D28"/>
    <w:rsid w:val="3A3600B7"/>
    <w:rsid w:val="3A786A00"/>
    <w:rsid w:val="3A810780"/>
    <w:rsid w:val="3A9A1823"/>
    <w:rsid w:val="3AAB5D94"/>
    <w:rsid w:val="3ABB507F"/>
    <w:rsid w:val="3AE3337B"/>
    <w:rsid w:val="3B080F2C"/>
    <w:rsid w:val="3B0818A7"/>
    <w:rsid w:val="3B0A6DCF"/>
    <w:rsid w:val="3B190B4B"/>
    <w:rsid w:val="3B1F3A2A"/>
    <w:rsid w:val="3B4469ED"/>
    <w:rsid w:val="3B5B563F"/>
    <w:rsid w:val="3B66161E"/>
    <w:rsid w:val="3B820AA5"/>
    <w:rsid w:val="3B930E55"/>
    <w:rsid w:val="3B951770"/>
    <w:rsid w:val="3BA42B0A"/>
    <w:rsid w:val="3BB13DFA"/>
    <w:rsid w:val="3BBC6DF3"/>
    <w:rsid w:val="3BC857A7"/>
    <w:rsid w:val="3BC924C1"/>
    <w:rsid w:val="3BCF60EF"/>
    <w:rsid w:val="3BDA652C"/>
    <w:rsid w:val="3BDD2114"/>
    <w:rsid w:val="3C147A84"/>
    <w:rsid w:val="3C3465FB"/>
    <w:rsid w:val="3C36192E"/>
    <w:rsid w:val="3C3E4664"/>
    <w:rsid w:val="3C4C36D4"/>
    <w:rsid w:val="3C4E19AC"/>
    <w:rsid w:val="3C5655B5"/>
    <w:rsid w:val="3C9218C2"/>
    <w:rsid w:val="3CA134EE"/>
    <w:rsid w:val="3CC428F9"/>
    <w:rsid w:val="3CC9632E"/>
    <w:rsid w:val="3CCB1FE8"/>
    <w:rsid w:val="3CCF1E09"/>
    <w:rsid w:val="3CE21750"/>
    <w:rsid w:val="3CE53DCB"/>
    <w:rsid w:val="3CF577B5"/>
    <w:rsid w:val="3D007059"/>
    <w:rsid w:val="3D285677"/>
    <w:rsid w:val="3D2E28ED"/>
    <w:rsid w:val="3D3561A6"/>
    <w:rsid w:val="3D4B0101"/>
    <w:rsid w:val="3D5434BF"/>
    <w:rsid w:val="3D5C31CD"/>
    <w:rsid w:val="3DA315AC"/>
    <w:rsid w:val="3DAC7364"/>
    <w:rsid w:val="3DAD4568"/>
    <w:rsid w:val="3DBC4409"/>
    <w:rsid w:val="3DC16C20"/>
    <w:rsid w:val="3DC41242"/>
    <w:rsid w:val="3DE22F28"/>
    <w:rsid w:val="3DEF6CE3"/>
    <w:rsid w:val="3DFB640C"/>
    <w:rsid w:val="3E1964B5"/>
    <w:rsid w:val="3E3028CC"/>
    <w:rsid w:val="3E4800C5"/>
    <w:rsid w:val="3E685997"/>
    <w:rsid w:val="3E6B7327"/>
    <w:rsid w:val="3E730BBA"/>
    <w:rsid w:val="3E75570A"/>
    <w:rsid w:val="3E7F160D"/>
    <w:rsid w:val="3E974C6C"/>
    <w:rsid w:val="3EA035B1"/>
    <w:rsid w:val="3EB05890"/>
    <w:rsid w:val="3EB662DE"/>
    <w:rsid w:val="3ECA6436"/>
    <w:rsid w:val="3EE51D68"/>
    <w:rsid w:val="3EEA7BA1"/>
    <w:rsid w:val="3EED52D5"/>
    <w:rsid w:val="3EF4409C"/>
    <w:rsid w:val="3EF46DDC"/>
    <w:rsid w:val="3F000043"/>
    <w:rsid w:val="3F163609"/>
    <w:rsid w:val="3F530D87"/>
    <w:rsid w:val="3F7E1E28"/>
    <w:rsid w:val="3F885FFD"/>
    <w:rsid w:val="3F8B3C19"/>
    <w:rsid w:val="3F9D60EC"/>
    <w:rsid w:val="3FA92D58"/>
    <w:rsid w:val="3FC01EB0"/>
    <w:rsid w:val="3FC20607"/>
    <w:rsid w:val="3FC63D69"/>
    <w:rsid w:val="3FE400E7"/>
    <w:rsid w:val="3FED2D1E"/>
    <w:rsid w:val="3FF2703A"/>
    <w:rsid w:val="40064CA4"/>
    <w:rsid w:val="40071F68"/>
    <w:rsid w:val="400D3309"/>
    <w:rsid w:val="402D5024"/>
    <w:rsid w:val="404A6256"/>
    <w:rsid w:val="40521F5E"/>
    <w:rsid w:val="405D3A82"/>
    <w:rsid w:val="407B78CA"/>
    <w:rsid w:val="4080076D"/>
    <w:rsid w:val="40813935"/>
    <w:rsid w:val="4086302B"/>
    <w:rsid w:val="408F0E13"/>
    <w:rsid w:val="40CC4E74"/>
    <w:rsid w:val="40D626BB"/>
    <w:rsid w:val="40E733ED"/>
    <w:rsid w:val="411E09D0"/>
    <w:rsid w:val="412169B0"/>
    <w:rsid w:val="41315351"/>
    <w:rsid w:val="413F511E"/>
    <w:rsid w:val="41531863"/>
    <w:rsid w:val="41571710"/>
    <w:rsid w:val="41671548"/>
    <w:rsid w:val="41692849"/>
    <w:rsid w:val="41712855"/>
    <w:rsid w:val="41785D2E"/>
    <w:rsid w:val="418501A3"/>
    <w:rsid w:val="41866A5E"/>
    <w:rsid w:val="41980CD1"/>
    <w:rsid w:val="41A160BD"/>
    <w:rsid w:val="41A81D32"/>
    <w:rsid w:val="41AD528B"/>
    <w:rsid w:val="41CB73CD"/>
    <w:rsid w:val="41ED2160"/>
    <w:rsid w:val="41EE23CD"/>
    <w:rsid w:val="41F75AA8"/>
    <w:rsid w:val="42106435"/>
    <w:rsid w:val="422C3859"/>
    <w:rsid w:val="424B619E"/>
    <w:rsid w:val="425D5D1D"/>
    <w:rsid w:val="42601294"/>
    <w:rsid w:val="42830443"/>
    <w:rsid w:val="4283791D"/>
    <w:rsid w:val="42911981"/>
    <w:rsid w:val="429D6505"/>
    <w:rsid w:val="429E5598"/>
    <w:rsid w:val="42A365EA"/>
    <w:rsid w:val="42AC0347"/>
    <w:rsid w:val="42AF706F"/>
    <w:rsid w:val="42D204A0"/>
    <w:rsid w:val="42D94AF8"/>
    <w:rsid w:val="430D6FBB"/>
    <w:rsid w:val="43295B8A"/>
    <w:rsid w:val="432A6497"/>
    <w:rsid w:val="43375073"/>
    <w:rsid w:val="43576B5F"/>
    <w:rsid w:val="435E43DE"/>
    <w:rsid w:val="435F6691"/>
    <w:rsid w:val="436C43F0"/>
    <w:rsid w:val="43951BC5"/>
    <w:rsid w:val="439D30C0"/>
    <w:rsid w:val="43A01E09"/>
    <w:rsid w:val="43A145D3"/>
    <w:rsid w:val="43A52A99"/>
    <w:rsid w:val="43AC5162"/>
    <w:rsid w:val="43AD226C"/>
    <w:rsid w:val="43AE5963"/>
    <w:rsid w:val="43B07562"/>
    <w:rsid w:val="43BE2097"/>
    <w:rsid w:val="43DC542C"/>
    <w:rsid w:val="43FF4731"/>
    <w:rsid w:val="4408720B"/>
    <w:rsid w:val="44155C26"/>
    <w:rsid w:val="44226EF8"/>
    <w:rsid w:val="4425050A"/>
    <w:rsid w:val="442B5740"/>
    <w:rsid w:val="443F72CB"/>
    <w:rsid w:val="4483330B"/>
    <w:rsid w:val="44A70322"/>
    <w:rsid w:val="44DC2BF7"/>
    <w:rsid w:val="44FE404A"/>
    <w:rsid w:val="45167072"/>
    <w:rsid w:val="452207FA"/>
    <w:rsid w:val="45227932"/>
    <w:rsid w:val="452857D0"/>
    <w:rsid w:val="45502375"/>
    <w:rsid w:val="455E01CE"/>
    <w:rsid w:val="45696AA5"/>
    <w:rsid w:val="456B6447"/>
    <w:rsid w:val="457479F1"/>
    <w:rsid w:val="457F32D0"/>
    <w:rsid w:val="458165A2"/>
    <w:rsid w:val="45960F12"/>
    <w:rsid w:val="45A77233"/>
    <w:rsid w:val="45B71626"/>
    <w:rsid w:val="45CB5780"/>
    <w:rsid w:val="45CF30C1"/>
    <w:rsid w:val="45D8579F"/>
    <w:rsid w:val="45DF626C"/>
    <w:rsid w:val="45F06B00"/>
    <w:rsid w:val="45FD7568"/>
    <w:rsid w:val="461C44CC"/>
    <w:rsid w:val="464C27C1"/>
    <w:rsid w:val="46597379"/>
    <w:rsid w:val="46682514"/>
    <w:rsid w:val="46866D36"/>
    <w:rsid w:val="46920121"/>
    <w:rsid w:val="46A16F9B"/>
    <w:rsid w:val="46A83A20"/>
    <w:rsid w:val="46BD5F17"/>
    <w:rsid w:val="46D61439"/>
    <w:rsid w:val="46F44800"/>
    <w:rsid w:val="46FA4A8D"/>
    <w:rsid w:val="470B7EE1"/>
    <w:rsid w:val="473D6DD6"/>
    <w:rsid w:val="474A4EDF"/>
    <w:rsid w:val="4773580A"/>
    <w:rsid w:val="47791A4A"/>
    <w:rsid w:val="478B0244"/>
    <w:rsid w:val="478D28D4"/>
    <w:rsid w:val="47B74789"/>
    <w:rsid w:val="47CB4AD5"/>
    <w:rsid w:val="47DB116F"/>
    <w:rsid w:val="47F1449D"/>
    <w:rsid w:val="481056A6"/>
    <w:rsid w:val="484645F2"/>
    <w:rsid w:val="485A5536"/>
    <w:rsid w:val="48652462"/>
    <w:rsid w:val="48850784"/>
    <w:rsid w:val="48922FC9"/>
    <w:rsid w:val="48961B4B"/>
    <w:rsid w:val="489E484B"/>
    <w:rsid w:val="48A36487"/>
    <w:rsid w:val="48D4531A"/>
    <w:rsid w:val="48D96910"/>
    <w:rsid w:val="48DF4419"/>
    <w:rsid w:val="48EA4A2A"/>
    <w:rsid w:val="4918703C"/>
    <w:rsid w:val="492D562B"/>
    <w:rsid w:val="493636AF"/>
    <w:rsid w:val="49482902"/>
    <w:rsid w:val="4954363D"/>
    <w:rsid w:val="49554FDF"/>
    <w:rsid w:val="49603E6B"/>
    <w:rsid w:val="496C4E31"/>
    <w:rsid w:val="4990587C"/>
    <w:rsid w:val="49A83673"/>
    <w:rsid w:val="49CF4B46"/>
    <w:rsid w:val="49E236F4"/>
    <w:rsid w:val="49EC0777"/>
    <w:rsid w:val="49F7759B"/>
    <w:rsid w:val="4A031B95"/>
    <w:rsid w:val="4A0A2DA9"/>
    <w:rsid w:val="4A0E403F"/>
    <w:rsid w:val="4A1C248C"/>
    <w:rsid w:val="4A2905BA"/>
    <w:rsid w:val="4A6C0E13"/>
    <w:rsid w:val="4A716C01"/>
    <w:rsid w:val="4A722347"/>
    <w:rsid w:val="4A7D641E"/>
    <w:rsid w:val="4A993237"/>
    <w:rsid w:val="4AB27051"/>
    <w:rsid w:val="4ACE3480"/>
    <w:rsid w:val="4ADD2D47"/>
    <w:rsid w:val="4ADF00DA"/>
    <w:rsid w:val="4AF5312D"/>
    <w:rsid w:val="4AFA6DBE"/>
    <w:rsid w:val="4B296B12"/>
    <w:rsid w:val="4B5A40DD"/>
    <w:rsid w:val="4B6B0F4E"/>
    <w:rsid w:val="4B6E69FE"/>
    <w:rsid w:val="4B7100AE"/>
    <w:rsid w:val="4B7A2A70"/>
    <w:rsid w:val="4B86701D"/>
    <w:rsid w:val="4B973F0F"/>
    <w:rsid w:val="4BA74BAC"/>
    <w:rsid w:val="4BA82731"/>
    <w:rsid w:val="4C0A70A4"/>
    <w:rsid w:val="4C0D29F2"/>
    <w:rsid w:val="4C137BEB"/>
    <w:rsid w:val="4C2146F0"/>
    <w:rsid w:val="4C46467C"/>
    <w:rsid w:val="4C5446B7"/>
    <w:rsid w:val="4C5D40A7"/>
    <w:rsid w:val="4C693BB6"/>
    <w:rsid w:val="4C743874"/>
    <w:rsid w:val="4C7E0947"/>
    <w:rsid w:val="4CA37006"/>
    <w:rsid w:val="4CBA31EA"/>
    <w:rsid w:val="4CC2135A"/>
    <w:rsid w:val="4CCF553C"/>
    <w:rsid w:val="4CD847BA"/>
    <w:rsid w:val="4CDB0356"/>
    <w:rsid w:val="4CEB0780"/>
    <w:rsid w:val="4CF040EF"/>
    <w:rsid w:val="4CF536DB"/>
    <w:rsid w:val="4D0669E4"/>
    <w:rsid w:val="4D340B94"/>
    <w:rsid w:val="4D3C4906"/>
    <w:rsid w:val="4D666E75"/>
    <w:rsid w:val="4D7E4654"/>
    <w:rsid w:val="4D8B0A71"/>
    <w:rsid w:val="4DA17317"/>
    <w:rsid w:val="4DA410B4"/>
    <w:rsid w:val="4DAB6F53"/>
    <w:rsid w:val="4DB10597"/>
    <w:rsid w:val="4DBD6D05"/>
    <w:rsid w:val="4DBF2841"/>
    <w:rsid w:val="4DCE41C0"/>
    <w:rsid w:val="4DF15582"/>
    <w:rsid w:val="4E017FB6"/>
    <w:rsid w:val="4E28581D"/>
    <w:rsid w:val="4E286569"/>
    <w:rsid w:val="4E374D2A"/>
    <w:rsid w:val="4E403572"/>
    <w:rsid w:val="4E473EF5"/>
    <w:rsid w:val="4E636A5E"/>
    <w:rsid w:val="4E6B0632"/>
    <w:rsid w:val="4E766588"/>
    <w:rsid w:val="4E9F5891"/>
    <w:rsid w:val="4EA63D5F"/>
    <w:rsid w:val="4EAC4724"/>
    <w:rsid w:val="4EB605A6"/>
    <w:rsid w:val="4EE647A0"/>
    <w:rsid w:val="4EF9152E"/>
    <w:rsid w:val="4F0D5D8B"/>
    <w:rsid w:val="4F0E77F1"/>
    <w:rsid w:val="4F1C51F6"/>
    <w:rsid w:val="4F256CF4"/>
    <w:rsid w:val="4F457D08"/>
    <w:rsid w:val="4F5F4642"/>
    <w:rsid w:val="4F610152"/>
    <w:rsid w:val="4F613A1E"/>
    <w:rsid w:val="4F667180"/>
    <w:rsid w:val="4F8E5987"/>
    <w:rsid w:val="4FC55999"/>
    <w:rsid w:val="4FDC026A"/>
    <w:rsid w:val="4FDD48E8"/>
    <w:rsid w:val="4FF0733E"/>
    <w:rsid w:val="501B0409"/>
    <w:rsid w:val="501B3DF7"/>
    <w:rsid w:val="503518E4"/>
    <w:rsid w:val="505415EE"/>
    <w:rsid w:val="50746D6A"/>
    <w:rsid w:val="50760AC1"/>
    <w:rsid w:val="507C7AA6"/>
    <w:rsid w:val="508A7512"/>
    <w:rsid w:val="50953BAD"/>
    <w:rsid w:val="509961F0"/>
    <w:rsid w:val="50AF6D72"/>
    <w:rsid w:val="50C335DB"/>
    <w:rsid w:val="50DD28EE"/>
    <w:rsid w:val="50EA1803"/>
    <w:rsid w:val="50F21C5B"/>
    <w:rsid w:val="50F85979"/>
    <w:rsid w:val="51060BBC"/>
    <w:rsid w:val="510C2A31"/>
    <w:rsid w:val="510E31E9"/>
    <w:rsid w:val="51257B8B"/>
    <w:rsid w:val="51257FDD"/>
    <w:rsid w:val="5126133F"/>
    <w:rsid w:val="5130095B"/>
    <w:rsid w:val="51383FC9"/>
    <w:rsid w:val="515A1AFC"/>
    <w:rsid w:val="5170593F"/>
    <w:rsid w:val="51987A62"/>
    <w:rsid w:val="51B02030"/>
    <w:rsid w:val="51BC48F4"/>
    <w:rsid w:val="51D77021"/>
    <w:rsid w:val="51DA5080"/>
    <w:rsid w:val="51E23FF4"/>
    <w:rsid w:val="51FB4BEC"/>
    <w:rsid w:val="51FE13A7"/>
    <w:rsid w:val="520A43E9"/>
    <w:rsid w:val="521A722A"/>
    <w:rsid w:val="521E012D"/>
    <w:rsid w:val="52251F19"/>
    <w:rsid w:val="527A6819"/>
    <w:rsid w:val="52854AA7"/>
    <w:rsid w:val="528D4D34"/>
    <w:rsid w:val="52D872EA"/>
    <w:rsid w:val="52ED151A"/>
    <w:rsid w:val="531A67C6"/>
    <w:rsid w:val="533B4793"/>
    <w:rsid w:val="533D7AA9"/>
    <w:rsid w:val="53583622"/>
    <w:rsid w:val="535A341D"/>
    <w:rsid w:val="535A4E0D"/>
    <w:rsid w:val="537132F7"/>
    <w:rsid w:val="538A0A7C"/>
    <w:rsid w:val="538C65A1"/>
    <w:rsid w:val="539325AA"/>
    <w:rsid w:val="53C11ACA"/>
    <w:rsid w:val="53C16DAB"/>
    <w:rsid w:val="53CA56BC"/>
    <w:rsid w:val="53EB4A94"/>
    <w:rsid w:val="53EE3CEE"/>
    <w:rsid w:val="5406019B"/>
    <w:rsid w:val="5412732B"/>
    <w:rsid w:val="541716CC"/>
    <w:rsid w:val="54230EE9"/>
    <w:rsid w:val="54277287"/>
    <w:rsid w:val="544B1068"/>
    <w:rsid w:val="54585736"/>
    <w:rsid w:val="54783416"/>
    <w:rsid w:val="54834704"/>
    <w:rsid w:val="54894282"/>
    <w:rsid w:val="54992161"/>
    <w:rsid w:val="54A41E09"/>
    <w:rsid w:val="54A5797F"/>
    <w:rsid w:val="551D240F"/>
    <w:rsid w:val="551D5F8B"/>
    <w:rsid w:val="55206C5C"/>
    <w:rsid w:val="553B7A93"/>
    <w:rsid w:val="55537992"/>
    <w:rsid w:val="5573337F"/>
    <w:rsid w:val="5575480D"/>
    <w:rsid w:val="558570B1"/>
    <w:rsid w:val="55882A2E"/>
    <w:rsid w:val="55961383"/>
    <w:rsid w:val="55D43B94"/>
    <w:rsid w:val="55E02C5B"/>
    <w:rsid w:val="55F4010C"/>
    <w:rsid w:val="56072E84"/>
    <w:rsid w:val="564749CF"/>
    <w:rsid w:val="56485321"/>
    <w:rsid w:val="567F2C27"/>
    <w:rsid w:val="567F7760"/>
    <w:rsid w:val="568A7495"/>
    <w:rsid w:val="56986171"/>
    <w:rsid w:val="56CD1C58"/>
    <w:rsid w:val="56E23F97"/>
    <w:rsid w:val="56E83A66"/>
    <w:rsid w:val="56F70235"/>
    <w:rsid w:val="56FE5EA0"/>
    <w:rsid w:val="570B5D5C"/>
    <w:rsid w:val="57102F4E"/>
    <w:rsid w:val="57162744"/>
    <w:rsid w:val="571B7992"/>
    <w:rsid w:val="571E3A82"/>
    <w:rsid w:val="574B1E54"/>
    <w:rsid w:val="574D3C91"/>
    <w:rsid w:val="57534B61"/>
    <w:rsid w:val="57587193"/>
    <w:rsid w:val="575927B9"/>
    <w:rsid w:val="579B52E5"/>
    <w:rsid w:val="57AC287A"/>
    <w:rsid w:val="57B647E1"/>
    <w:rsid w:val="57D704AF"/>
    <w:rsid w:val="57E617E3"/>
    <w:rsid w:val="580A2EF6"/>
    <w:rsid w:val="580B5F93"/>
    <w:rsid w:val="58141F88"/>
    <w:rsid w:val="58297B0A"/>
    <w:rsid w:val="58432F69"/>
    <w:rsid w:val="584A6A28"/>
    <w:rsid w:val="585C67EF"/>
    <w:rsid w:val="5862602D"/>
    <w:rsid w:val="5878058A"/>
    <w:rsid w:val="589A10C5"/>
    <w:rsid w:val="58D724B2"/>
    <w:rsid w:val="58EA36B8"/>
    <w:rsid w:val="58F44C79"/>
    <w:rsid w:val="592A795B"/>
    <w:rsid w:val="59492FB3"/>
    <w:rsid w:val="594A7297"/>
    <w:rsid w:val="595B6AA6"/>
    <w:rsid w:val="595E4027"/>
    <w:rsid w:val="597177E8"/>
    <w:rsid w:val="59760980"/>
    <w:rsid w:val="598C41F6"/>
    <w:rsid w:val="59995F8B"/>
    <w:rsid w:val="59B31956"/>
    <w:rsid w:val="5A0263AE"/>
    <w:rsid w:val="5A0D113D"/>
    <w:rsid w:val="5A0F219E"/>
    <w:rsid w:val="5A1524C3"/>
    <w:rsid w:val="5A5D3494"/>
    <w:rsid w:val="5A880FEE"/>
    <w:rsid w:val="5A967DB5"/>
    <w:rsid w:val="5A99284B"/>
    <w:rsid w:val="5AB57550"/>
    <w:rsid w:val="5ABA5382"/>
    <w:rsid w:val="5ADE228B"/>
    <w:rsid w:val="5AF221C5"/>
    <w:rsid w:val="5AF8013C"/>
    <w:rsid w:val="5B134906"/>
    <w:rsid w:val="5B2A3D00"/>
    <w:rsid w:val="5B331477"/>
    <w:rsid w:val="5B365932"/>
    <w:rsid w:val="5B3752F1"/>
    <w:rsid w:val="5B386D66"/>
    <w:rsid w:val="5B4C1EEA"/>
    <w:rsid w:val="5B5D6D07"/>
    <w:rsid w:val="5B61411C"/>
    <w:rsid w:val="5B662642"/>
    <w:rsid w:val="5B6D6853"/>
    <w:rsid w:val="5B8A53B2"/>
    <w:rsid w:val="5B8C1459"/>
    <w:rsid w:val="5B9149B9"/>
    <w:rsid w:val="5BA140A4"/>
    <w:rsid w:val="5BDE576D"/>
    <w:rsid w:val="5C2D3FFE"/>
    <w:rsid w:val="5C315540"/>
    <w:rsid w:val="5C3929A3"/>
    <w:rsid w:val="5C447D4E"/>
    <w:rsid w:val="5C4625B3"/>
    <w:rsid w:val="5C486686"/>
    <w:rsid w:val="5C4A6AB7"/>
    <w:rsid w:val="5C5D31D4"/>
    <w:rsid w:val="5C685BDC"/>
    <w:rsid w:val="5C6C2D78"/>
    <w:rsid w:val="5CA34EDE"/>
    <w:rsid w:val="5CAA1995"/>
    <w:rsid w:val="5CAB2F7E"/>
    <w:rsid w:val="5CC11316"/>
    <w:rsid w:val="5CE12246"/>
    <w:rsid w:val="5CFA62D1"/>
    <w:rsid w:val="5CFC771C"/>
    <w:rsid w:val="5D0872C0"/>
    <w:rsid w:val="5D1A0A26"/>
    <w:rsid w:val="5D316674"/>
    <w:rsid w:val="5D347D3A"/>
    <w:rsid w:val="5D3C68BC"/>
    <w:rsid w:val="5D4949F6"/>
    <w:rsid w:val="5D4A4E92"/>
    <w:rsid w:val="5D7C3154"/>
    <w:rsid w:val="5DAB07CD"/>
    <w:rsid w:val="5DB82D0C"/>
    <w:rsid w:val="5DBB5E42"/>
    <w:rsid w:val="5DCD7F86"/>
    <w:rsid w:val="5DE10A58"/>
    <w:rsid w:val="5E2A25FF"/>
    <w:rsid w:val="5E323B4E"/>
    <w:rsid w:val="5E61692A"/>
    <w:rsid w:val="5E9E7B87"/>
    <w:rsid w:val="5EA762EA"/>
    <w:rsid w:val="5EBE461E"/>
    <w:rsid w:val="5EC329D3"/>
    <w:rsid w:val="5EF61AE7"/>
    <w:rsid w:val="5F0F2E0E"/>
    <w:rsid w:val="5F104EA0"/>
    <w:rsid w:val="5F1E7F46"/>
    <w:rsid w:val="5F2509E5"/>
    <w:rsid w:val="5F38559C"/>
    <w:rsid w:val="5F482DEE"/>
    <w:rsid w:val="5F4B626A"/>
    <w:rsid w:val="5F5521EA"/>
    <w:rsid w:val="5F5F68F5"/>
    <w:rsid w:val="5F74227E"/>
    <w:rsid w:val="5F752B2D"/>
    <w:rsid w:val="5F7B21F4"/>
    <w:rsid w:val="5F9103BC"/>
    <w:rsid w:val="5F982B83"/>
    <w:rsid w:val="5FA5323E"/>
    <w:rsid w:val="5FB349A6"/>
    <w:rsid w:val="5FB5103B"/>
    <w:rsid w:val="5FC146ED"/>
    <w:rsid w:val="5FD414F4"/>
    <w:rsid w:val="5FEA257C"/>
    <w:rsid w:val="601B1F54"/>
    <w:rsid w:val="60255718"/>
    <w:rsid w:val="602573F6"/>
    <w:rsid w:val="603A3B42"/>
    <w:rsid w:val="604934C5"/>
    <w:rsid w:val="607246D5"/>
    <w:rsid w:val="60CD4AF6"/>
    <w:rsid w:val="60F62733"/>
    <w:rsid w:val="611D6626"/>
    <w:rsid w:val="611F7D56"/>
    <w:rsid w:val="615F7E06"/>
    <w:rsid w:val="61771B1A"/>
    <w:rsid w:val="61776AA6"/>
    <w:rsid w:val="618C6543"/>
    <w:rsid w:val="61B25162"/>
    <w:rsid w:val="61B30C91"/>
    <w:rsid w:val="61B472A6"/>
    <w:rsid w:val="61D21825"/>
    <w:rsid w:val="61D6593F"/>
    <w:rsid w:val="61D90AAC"/>
    <w:rsid w:val="61E310F4"/>
    <w:rsid w:val="62043F57"/>
    <w:rsid w:val="62170DAB"/>
    <w:rsid w:val="6224022A"/>
    <w:rsid w:val="626C25FA"/>
    <w:rsid w:val="628B714B"/>
    <w:rsid w:val="62991784"/>
    <w:rsid w:val="62B72717"/>
    <w:rsid w:val="62F608A2"/>
    <w:rsid w:val="62F82F7B"/>
    <w:rsid w:val="63066AF4"/>
    <w:rsid w:val="631B07A7"/>
    <w:rsid w:val="631E2567"/>
    <w:rsid w:val="631F104B"/>
    <w:rsid w:val="6334374D"/>
    <w:rsid w:val="633D1CE0"/>
    <w:rsid w:val="635032BC"/>
    <w:rsid w:val="63536A40"/>
    <w:rsid w:val="635C3B47"/>
    <w:rsid w:val="636A79C8"/>
    <w:rsid w:val="636C686D"/>
    <w:rsid w:val="637245F6"/>
    <w:rsid w:val="637F1B3E"/>
    <w:rsid w:val="63863429"/>
    <w:rsid w:val="638A3585"/>
    <w:rsid w:val="638A75D8"/>
    <w:rsid w:val="63C14B0C"/>
    <w:rsid w:val="63C87805"/>
    <w:rsid w:val="63CB2604"/>
    <w:rsid w:val="63D40EED"/>
    <w:rsid w:val="63F91396"/>
    <w:rsid w:val="64022033"/>
    <w:rsid w:val="6405424A"/>
    <w:rsid w:val="64063AB3"/>
    <w:rsid w:val="64164904"/>
    <w:rsid w:val="6435537D"/>
    <w:rsid w:val="645161BC"/>
    <w:rsid w:val="64581D6C"/>
    <w:rsid w:val="646F3406"/>
    <w:rsid w:val="649772BD"/>
    <w:rsid w:val="64AA5CA7"/>
    <w:rsid w:val="64C9644F"/>
    <w:rsid w:val="64E65714"/>
    <w:rsid w:val="651366FC"/>
    <w:rsid w:val="65183A9D"/>
    <w:rsid w:val="653C1656"/>
    <w:rsid w:val="656071F2"/>
    <w:rsid w:val="6565541E"/>
    <w:rsid w:val="65750352"/>
    <w:rsid w:val="658031BA"/>
    <w:rsid w:val="65827CF1"/>
    <w:rsid w:val="65A03384"/>
    <w:rsid w:val="65A0550C"/>
    <w:rsid w:val="65A76E6F"/>
    <w:rsid w:val="65B71508"/>
    <w:rsid w:val="65CA6814"/>
    <w:rsid w:val="65DB1361"/>
    <w:rsid w:val="65E17F1D"/>
    <w:rsid w:val="65F82D24"/>
    <w:rsid w:val="660C2FEF"/>
    <w:rsid w:val="66163514"/>
    <w:rsid w:val="6623792A"/>
    <w:rsid w:val="66440C1B"/>
    <w:rsid w:val="664D7777"/>
    <w:rsid w:val="665705F5"/>
    <w:rsid w:val="665B63B9"/>
    <w:rsid w:val="666166D7"/>
    <w:rsid w:val="66720053"/>
    <w:rsid w:val="667C6CBE"/>
    <w:rsid w:val="66A95E96"/>
    <w:rsid w:val="66BB4DF5"/>
    <w:rsid w:val="66C36A45"/>
    <w:rsid w:val="66D53D17"/>
    <w:rsid w:val="66DE3938"/>
    <w:rsid w:val="66E712FD"/>
    <w:rsid w:val="66EC0B67"/>
    <w:rsid w:val="66EC4CDB"/>
    <w:rsid w:val="674D286A"/>
    <w:rsid w:val="676B1C5A"/>
    <w:rsid w:val="677D5E3A"/>
    <w:rsid w:val="67875D43"/>
    <w:rsid w:val="679F2254"/>
    <w:rsid w:val="68040309"/>
    <w:rsid w:val="68215A70"/>
    <w:rsid w:val="682F14A4"/>
    <w:rsid w:val="68533971"/>
    <w:rsid w:val="686B2D87"/>
    <w:rsid w:val="68727789"/>
    <w:rsid w:val="68757C35"/>
    <w:rsid w:val="68947ED8"/>
    <w:rsid w:val="68AA0ED1"/>
    <w:rsid w:val="68B07AC1"/>
    <w:rsid w:val="68DE3D19"/>
    <w:rsid w:val="68E40C08"/>
    <w:rsid w:val="68EF4B15"/>
    <w:rsid w:val="68F24C5D"/>
    <w:rsid w:val="68F96942"/>
    <w:rsid w:val="69217045"/>
    <w:rsid w:val="69587060"/>
    <w:rsid w:val="697B2C46"/>
    <w:rsid w:val="697F76BA"/>
    <w:rsid w:val="69957D4C"/>
    <w:rsid w:val="699A3EEF"/>
    <w:rsid w:val="69C739F5"/>
    <w:rsid w:val="69C9180A"/>
    <w:rsid w:val="69DB081B"/>
    <w:rsid w:val="69DE5101"/>
    <w:rsid w:val="69E7298C"/>
    <w:rsid w:val="69EC72DF"/>
    <w:rsid w:val="69ED309B"/>
    <w:rsid w:val="69F53A0D"/>
    <w:rsid w:val="69F963D6"/>
    <w:rsid w:val="6A13520C"/>
    <w:rsid w:val="6A386990"/>
    <w:rsid w:val="6A4A4E2B"/>
    <w:rsid w:val="6A5E62D4"/>
    <w:rsid w:val="6A7808A9"/>
    <w:rsid w:val="6AB71DE1"/>
    <w:rsid w:val="6ACA3F97"/>
    <w:rsid w:val="6AD341B2"/>
    <w:rsid w:val="6AE459B9"/>
    <w:rsid w:val="6B014B5B"/>
    <w:rsid w:val="6B093982"/>
    <w:rsid w:val="6B0D5158"/>
    <w:rsid w:val="6B2D4A11"/>
    <w:rsid w:val="6B323E37"/>
    <w:rsid w:val="6B3810D4"/>
    <w:rsid w:val="6B621F16"/>
    <w:rsid w:val="6B937495"/>
    <w:rsid w:val="6BAE06CA"/>
    <w:rsid w:val="6BC42257"/>
    <w:rsid w:val="6BF370D9"/>
    <w:rsid w:val="6C0C5D19"/>
    <w:rsid w:val="6C291101"/>
    <w:rsid w:val="6C3D0AB5"/>
    <w:rsid w:val="6C5A7CD0"/>
    <w:rsid w:val="6C6333C2"/>
    <w:rsid w:val="6C7D068A"/>
    <w:rsid w:val="6C7D6768"/>
    <w:rsid w:val="6C884B32"/>
    <w:rsid w:val="6CA07041"/>
    <w:rsid w:val="6CA17F41"/>
    <w:rsid w:val="6CB30550"/>
    <w:rsid w:val="6CBC68E3"/>
    <w:rsid w:val="6CC450A0"/>
    <w:rsid w:val="6CE8547C"/>
    <w:rsid w:val="6CED5C73"/>
    <w:rsid w:val="6CEF68FD"/>
    <w:rsid w:val="6CFB7327"/>
    <w:rsid w:val="6D127811"/>
    <w:rsid w:val="6D15641C"/>
    <w:rsid w:val="6D423C23"/>
    <w:rsid w:val="6D6B78DA"/>
    <w:rsid w:val="6D922A32"/>
    <w:rsid w:val="6DBD0D54"/>
    <w:rsid w:val="6DCA0A18"/>
    <w:rsid w:val="6DCC698C"/>
    <w:rsid w:val="6DD17E2F"/>
    <w:rsid w:val="6E027004"/>
    <w:rsid w:val="6E155C03"/>
    <w:rsid w:val="6E210349"/>
    <w:rsid w:val="6E530A89"/>
    <w:rsid w:val="6E557B10"/>
    <w:rsid w:val="6E6B6814"/>
    <w:rsid w:val="6E716532"/>
    <w:rsid w:val="6E754144"/>
    <w:rsid w:val="6E754F4E"/>
    <w:rsid w:val="6E8E68E8"/>
    <w:rsid w:val="6E8F7A3F"/>
    <w:rsid w:val="6EA03622"/>
    <w:rsid w:val="6EC0529C"/>
    <w:rsid w:val="6ED96987"/>
    <w:rsid w:val="6F0276EE"/>
    <w:rsid w:val="6F076934"/>
    <w:rsid w:val="6F097DEB"/>
    <w:rsid w:val="6F0D2F2B"/>
    <w:rsid w:val="6F1E4DC7"/>
    <w:rsid w:val="6F300534"/>
    <w:rsid w:val="6F3229E8"/>
    <w:rsid w:val="6F362549"/>
    <w:rsid w:val="6F394D13"/>
    <w:rsid w:val="6F471F53"/>
    <w:rsid w:val="6F4A5054"/>
    <w:rsid w:val="6F4B63B5"/>
    <w:rsid w:val="6F524050"/>
    <w:rsid w:val="6F881FD5"/>
    <w:rsid w:val="6F92738F"/>
    <w:rsid w:val="6FAC4D41"/>
    <w:rsid w:val="6FBE2887"/>
    <w:rsid w:val="6FED0A17"/>
    <w:rsid w:val="700F7C5C"/>
    <w:rsid w:val="70283772"/>
    <w:rsid w:val="703C6D7B"/>
    <w:rsid w:val="70451B25"/>
    <w:rsid w:val="70457F01"/>
    <w:rsid w:val="704936A5"/>
    <w:rsid w:val="70AA4BEE"/>
    <w:rsid w:val="70AF632D"/>
    <w:rsid w:val="70D17AF6"/>
    <w:rsid w:val="70F23AC3"/>
    <w:rsid w:val="71143527"/>
    <w:rsid w:val="71782223"/>
    <w:rsid w:val="719806D8"/>
    <w:rsid w:val="71BF3573"/>
    <w:rsid w:val="71DD4114"/>
    <w:rsid w:val="71E2314E"/>
    <w:rsid w:val="71F50FA4"/>
    <w:rsid w:val="71F604F4"/>
    <w:rsid w:val="71F922A6"/>
    <w:rsid w:val="720D5704"/>
    <w:rsid w:val="721F1A00"/>
    <w:rsid w:val="722309A4"/>
    <w:rsid w:val="725772E2"/>
    <w:rsid w:val="725D4351"/>
    <w:rsid w:val="72612D60"/>
    <w:rsid w:val="729B2FFA"/>
    <w:rsid w:val="72A2593C"/>
    <w:rsid w:val="72AA0FEE"/>
    <w:rsid w:val="72AB7677"/>
    <w:rsid w:val="72CC2101"/>
    <w:rsid w:val="72E8031A"/>
    <w:rsid w:val="72E8547B"/>
    <w:rsid w:val="72F84C86"/>
    <w:rsid w:val="73006509"/>
    <w:rsid w:val="7315612F"/>
    <w:rsid w:val="731F4BAD"/>
    <w:rsid w:val="73307453"/>
    <w:rsid w:val="73452AD0"/>
    <w:rsid w:val="73465C7A"/>
    <w:rsid w:val="73484357"/>
    <w:rsid w:val="73497A0F"/>
    <w:rsid w:val="735C7332"/>
    <w:rsid w:val="73783CDB"/>
    <w:rsid w:val="73873274"/>
    <w:rsid w:val="73BE566D"/>
    <w:rsid w:val="73C0752C"/>
    <w:rsid w:val="73C527A7"/>
    <w:rsid w:val="73D1277A"/>
    <w:rsid w:val="73DD5AFA"/>
    <w:rsid w:val="73E40451"/>
    <w:rsid w:val="73F049D2"/>
    <w:rsid w:val="74082E4E"/>
    <w:rsid w:val="740A4EF9"/>
    <w:rsid w:val="74442BBA"/>
    <w:rsid w:val="744545FA"/>
    <w:rsid w:val="74582967"/>
    <w:rsid w:val="745941A5"/>
    <w:rsid w:val="74786EE6"/>
    <w:rsid w:val="747A77BC"/>
    <w:rsid w:val="74901BCD"/>
    <w:rsid w:val="74923460"/>
    <w:rsid w:val="74F3740F"/>
    <w:rsid w:val="74F85622"/>
    <w:rsid w:val="74FA7C85"/>
    <w:rsid w:val="75322959"/>
    <w:rsid w:val="7555489A"/>
    <w:rsid w:val="75715CB8"/>
    <w:rsid w:val="75860FAB"/>
    <w:rsid w:val="75861A93"/>
    <w:rsid w:val="758A02F7"/>
    <w:rsid w:val="758B13D0"/>
    <w:rsid w:val="758D10DF"/>
    <w:rsid w:val="75BC2223"/>
    <w:rsid w:val="75BE05EE"/>
    <w:rsid w:val="75C868B9"/>
    <w:rsid w:val="75CF1533"/>
    <w:rsid w:val="75DA693B"/>
    <w:rsid w:val="75DB08B9"/>
    <w:rsid w:val="76051E1C"/>
    <w:rsid w:val="76122CC8"/>
    <w:rsid w:val="761E04ED"/>
    <w:rsid w:val="761E1436"/>
    <w:rsid w:val="762552E0"/>
    <w:rsid w:val="76493C5F"/>
    <w:rsid w:val="76971E24"/>
    <w:rsid w:val="76B7322C"/>
    <w:rsid w:val="76CE583C"/>
    <w:rsid w:val="76E84BFD"/>
    <w:rsid w:val="76EE465E"/>
    <w:rsid w:val="76F92789"/>
    <w:rsid w:val="7700286C"/>
    <w:rsid w:val="77025503"/>
    <w:rsid w:val="77403247"/>
    <w:rsid w:val="77644F34"/>
    <w:rsid w:val="7771316B"/>
    <w:rsid w:val="778E18BC"/>
    <w:rsid w:val="779863DF"/>
    <w:rsid w:val="779937F4"/>
    <w:rsid w:val="779D76D5"/>
    <w:rsid w:val="77A350F1"/>
    <w:rsid w:val="77B87094"/>
    <w:rsid w:val="77CB3316"/>
    <w:rsid w:val="77D4225E"/>
    <w:rsid w:val="7810774B"/>
    <w:rsid w:val="78297D56"/>
    <w:rsid w:val="7842339A"/>
    <w:rsid w:val="78580C61"/>
    <w:rsid w:val="788C11D8"/>
    <w:rsid w:val="789B426C"/>
    <w:rsid w:val="789F4234"/>
    <w:rsid w:val="78AD1A91"/>
    <w:rsid w:val="78AD633C"/>
    <w:rsid w:val="78C47A94"/>
    <w:rsid w:val="78EE1DE6"/>
    <w:rsid w:val="78F63165"/>
    <w:rsid w:val="791834A5"/>
    <w:rsid w:val="791A23CE"/>
    <w:rsid w:val="791B189B"/>
    <w:rsid w:val="79284DE7"/>
    <w:rsid w:val="7948209B"/>
    <w:rsid w:val="794A75B4"/>
    <w:rsid w:val="794A7BF2"/>
    <w:rsid w:val="794C0974"/>
    <w:rsid w:val="795D4507"/>
    <w:rsid w:val="795D631E"/>
    <w:rsid w:val="797A48CF"/>
    <w:rsid w:val="799E3D76"/>
    <w:rsid w:val="79A26A28"/>
    <w:rsid w:val="79A614A0"/>
    <w:rsid w:val="79B6681C"/>
    <w:rsid w:val="79B700EA"/>
    <w:rsid w:val="79BC7EE1"/>
    <w:rsid w:val="79BD65DC"/>
    <w:rsid w:val="79E97F79"/>
    <w:rsid w:val="79EA7FBE"/>
    <w:rsid w:val="79F4119C"/>
    <w:rsid w:val="79F54D6E"/>
    <w:rsid w:val="7A00471E"/>
    <w:rsid w:val="7A2B1778"/>
    <w:rsid w:val="7A742149"/>
    <w:rsid w:val="7A827166"/>
    <w:rsid w:val="7A892620"/>
    <w:rsid w:val="7A8E4A84"/>
    <w:rsid w:val="7A90572C"/>
    <w:rsid w:val="7AC76F2D"/>
    <w:rsid w:val="7AD81D83"/>
    <w:rsid w:val="7AE71AF0"/>
    <w:rsid w:val="7B0A528D"/>
    <w:rsid w:val="7B3E0F8B"/>
    <w:rsid w:val="7B427B6D"/>
    <w:rsid w:val="7B637921"/>
    <w:rsid w:val="7B732EC8"/>
    <w:rsid w:val="7B751ADD"/>
    <w:rsid w:val="7BA774D1"/>
    <w:rsid w:val="7C063B48"/>
    <w:rsid w:val="7C1C4341"/>
    <w:rsid w:val="7C1F24CE"/>
    <w:rsid w:val="7C2B1EB0"/>
    <w:rsid w:val="7C2C2EAF"/>
    <w:rsid w:val="7C477F70"/>
    <w:rsid w:val="7C7251FC"/>
    <w:rsid w:val="7C8F409E"/>
    <w:rsid w:val="7CA9055B"/>
    <w:rsid w:val="7CAD41E0"/>
    <w:rsid w:val="7CB14462"/>
    <w:rsid w:val="7CD552C0"/>
    <w:rsid w:val="7CF50DC9"/>
    <w:rsid w:val="7D04291E"/>
    <w:rsid w:val="7D20556C"/>
    <w:rsid w:val="7D3A604C"/>
    <w:rsid w:val="7D7029D6"/>
    <w:rsid w:val="7D8558F5"/>
    <w:rsid w:val="7D8A4C4A"/>
    <w:rsid w:val="7DB15FC0"/>
    <w:rsid w:val="7DB63953"/>
    <w:rsid w:val="7DC308AC"/>
    <w:rsid w:val="7DD349F0"/>
    <w:rsid w:val="7DDB5994"/>
    <w:rsid w:val="7DE05060"/>
    <w:rsid w:val="7E07566D"/>
    <w:rsid w:val="7E2E10AE"/>
    <w:rsid w:val="7E3F35B6"/>
    <w:rsid w:val="7E432AE1"/>
    <w:rsid w:val="7E802A13"/>
    <w:rsid w:val="7E826E13"/>
    <w:rsid w:val="7E8476C3"/>
    <w:rsid w:val="7E993E73"/>
    <w:rsid w:val="7EAD330F"/>
    <w:rsid w:val="7EBC6618"/>
    <w:rsid w:val="7ECE58BC"/>
    <w:rsid w:val="7F387E81"/>
    <w:rsid w:val="7F5107EB"/>
    <w:rsid w:val="7F65382D"/>
    <w:rsid w:val="7F916580"/>
    <w:rsid w:val="7F923112"/>
    <w:rsid w:val="7FA77068"/>
    <w:rsid w:val="7FA87625"/>
    <w:rsid w:val="7FBB179D"/>
    <w:rsid w:val="7FC0018F"/>
    <w:rsid w:val="7FD57DCA"/>
    <w:rsid w:val="7FE76A2F"/>
    <w:rsid w:val="7FF64583"/>
    <w:rsid w:val="7FFA2ECF"/>
    <w:rsid w:val="BF5DF1CC"/>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qFormat="1" w:unhideWhenUsed="0" w:uiPriority="99"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1"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semiHidden="0" w:name="Date"/>
    <w:lsdException w:qFormat="1" w:unhideWhenUsed="0" w:uiPriority="0" w:semiHidden="0" w:name="Body Text First Indent"/>
    <w:lsdException w:qFormat="1" w:unhideWhenUsed="0" w:uiPriority="0"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99" w:semiHidden="0" w:name="Strong"/>
    <w:lsdException w:qFormat="1" w:unhideWhenUsed="0" w:uiPriority="20" w:semiHidden="0" w:name="Emphasis"/>
    <w:lsdException w:uiPriority="99" w:name="Document Map"/>
    <w:lsdException w:qFormat="1" w:unhideWhenUsed="0" w:uiPriority="99"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99" w:semiHidden="0"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9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autoRedefine/>
    <w:qFormat/>
    <w:uiPriority w:val="9"/>
    <w:pPr>
      <w:keepNext/>
      <w:keepLines/>
      <w:spacing w:before="340" w:beforeLines="0" w:beforeAutospacing="0" w:after="330" w:afterLines="0" w:afterAutospacing="0" w:line="576" w:lineRule="auto"/>
      <w:outlineLvl w:val="0"/>
    </w:pPr>
    <w:rPr>
      <w:b/>
      <w:kern w:val="44"/>
      <w:sz w:val="44"/>
    </w:rPr>
  </w:style>
  <w:style w:type="character" w:default="1" w:styleId="20">
    <w:name w:val="Default Paragraph Font"/>
    <w:autoRedefine/>
    <w:semiHidden/>
    <w:unhideWhenUsed/>
    <w:qFormat/>
    <w:uiPriority w:val="1"/>
  </w:style>
  <w:style w:type="table" w:default="1" w:styleId="18">
    <w:name w:val="Normal Table"/>
    <w:autoRedefine/>
    <w:semiHidden/>
    <w:unhideWhenUsed/>
    <w:qFormat/>
    <w:uiPriority w:val="99"/>
    <w:tblPr>
      <w:tblCellMar>
        <w:top w:w="0" w:type="dxa"/>
        <w:left w:w="108" w:type="dxa"/>
        <w:bottom w:w="0" w:type="dxa"/>
        <w:right w:w="108" w:type="dxa"/>
      </w:tblCellMar>
    </w:tblPr>
  </w:style>
  <w:style w:type="paragraph" w:styleId="3">
    <w:name w:val="Normal Indent"/>
    <w:basedOn w:val="1"/>
    <w:autoRedefine/>
    <w:semiHidden/>
    <w:unhideWhenUsed/>
    <w:qFormat/>
    <w:uiPriority w:val="99"/>
    <w:pPr>
      <w:ind w:firstLine="420" w:firstLineChars="200"/>
    </w:pPr>
  </w:style>
  <w:style w:type="paragraph" w:styleId="4">
    <w:name w:val="annotation text"/>
    <w:basedOn w:val="1"/>
    <w:link w:val="37"/>
    <w:autoRedefine/>
    <w:semiHidden/>
    <w:unhideWhenUsed/>
    <w:qFormat/>
    <w:uiPriority w:val="99"/>
    <w:pPr>
      <w:jc w:val="left"/>
    </w:pPr>
  </w:style>
  <w:style w:type="paragraph" w:styleId="5">
    <w:name w:val="Body Text"/>
    <w:basedOn w:val="1"/>
    <w:next w:val="1"/>
    <w:autoRedefine/>
    <w:qFormat/>
    <w:uiPriority w:val="1"/>
    <w:rPr>
      <w:rFonts w:ascii="仿宋_GB2312" w:hAnsi="仿宋_GB2312" w:eastAsia="仿宋_GB2312" w:cs="仿宋_GB2312"/>
      <w:sz w:val="32"/>
      <w:szCs w:val="32"/>
      <w:lang w:val="zh-CN" w:bidi="zh-CN"/>
    </w:rPr>
  </w:style>
  <w:style w:type="paragraph" w:styleId="6">
    <w:name w:val="Body Text Indent"/>
    <w:basedOn w:val="1"/>
    <w:autoRedefine/>
    <w:qFormat/>
    <w:uiPriority w:val="0"/>
    <w:pPr>
      <w:spacing w:after="120"/>
      <w:ind w:left="420" w:leftChars="200"/>
    </w:pPr>
    <w:rPr>
      <w:kern w:val="0"/>
      <w:sz w:val="24"/>
      <w:szCs w:val="20"/>
    </w:rPr>
  </w:style>
  <w:style w:type="paragraph" w:styleId="7">
    <w:name w:val="Plain Text"/>
    <w:basedOn w:val="1"/>
    <w:link w:val="26"/>
    <w:autoRedefine/>
    <w:qFormat/>
    <w:uiPriority w:val="99"/>
    <w:rPr>
      <w:rFonts w:ascii="宋体" w:hAnsi="Courier New" w:cs="Courier New"/>
      <w:szCs w:val="21"/>
    </w:rPr>
  </w:style>
  <w:style w:type="paragraph" w:styleId="8">
    <w:name w:val="Date"/>
    <w:basedOn w:val="1"/>
    <w:next w:val="1"/>
    <w:link w:val="27"/>
    <w:autoRedefine/>
    <w:unhideWhenUsed/>
    <w:qFormat/>
    <w:uiPriority w:val="99"/>
    <w:pPr>
      <w:ind w:left="100" w:leftChars="2500"/>
    </w:pPr>
  </w:style>
  <w:style w:type="paragraph" w:styleId="9">
    <w:name w:val="Balloon Text"/>
    <w:basedOn w:val="1"/>
    <w:link w:val="28"/>
    <w:autoRedefine/>
    <w:semiHidden/>
    <w:unhideWhenUsed/>
    <w:qFormat/>
    <w:uiPriority w:val="99"/>
    <w:rPr>
      <w:sz w:val="18"/>
      <w:szCs w:val="18"/>
    </w:rPr>
  </w:style>
  <w:style w:type="paragraph" w:styleId="10">
    <w:name w:val="footer"/>
    <w:basedOn w:val="1"/>
    <w:link w:val="29"/>
    <w:autoRedefine/>
    <w:unhideWhenUsed/>
    <w:qFormat/>
    <w:uiPriority w:val="99"/>
    <w:pPr>
      <w:tabs>
        <w:tab w:val="center" w:pos="4153"/>
        <w:tab w:val="right" w:pos="8306"/>
      </w:tabs>
      <w:snapToGrid w:val="0"/>
      <w:jc w:val="left"/>
    </w:pPr>
    <w:rPr>
      <w:sz w:val="18"/>
      <w:szCs w:val="18"/>
    </w:rPr>
  </w:style>
  <w:style w:type="paragraph" w:styleId="11">
    <w:name w:val="header"/>
    <w:basedOn w:val="1"/>
    <w:link w:val="30"/>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12">
    <w:name w:val="toc 1"/>
    <w:basedOn w:val="1"/>
    <w:next w:val="1"/>
    <w:autoRedefine/>
    <w:qFormat/>
    <w:uiPriority w:val="39"/>
  </w:style>
  <w:style w:type="paragraph" w:styleId="13">
    <w:name w:val="HTML Preformatted"/>
    <w:basedOn w:val="1"/>
    <w:link w:val="36"/>
    <w:autoRedefine/>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paragraph" w:styleId="14">
    <w:name w:val="Normal (Web)"/>
    <w:basedOn w:val="1"/>
    <w:autoRedefine/>
    <w:unhideWhenUsed/>
    <w:qFormat/>
    <w:uiPriority w:val="99"/>
    <w:pPr>
      <w:widowControl/>
      <w:spacing w:before="100" w:beforeAutospacing="1" w:after="100" w:afterAutospacing="1"/>
      <w:jc w:val="left"/>
    </w:pPr>
    <w:rPr>
      <w:rFonts w:ascii="宋体" w:hAnsi="宋体" w:cs="宋体"/>
      <w:kern w:val="0"/>
      <w:sz w:val="24"/>
    </w:rPr>
  </w:style>
  <w:style w:type="paragraph" w:styleId="15">
    <w:name w:val="annotation subject"/>
    <w:basedOn w:val="4"/>
    <w:next w:val="4"/>
    <w:link w:val="38"/>
    <w:autoRedefine/>
    <w:semiHidden/>
    <w:unhideWhenUsed/>
    <w:qFormat/>
    <w:uiPriority w:val="99"/>
    <w:rPr>
      <w:b/>
      <w:bCs/>
    </w:rPr>
  </w:style>
  <w:style w:type="paragraph" w:styleId="16">
    <w:name w:val="Body Text First Indent"/>
    <w:basedOn w:val="5"/>
    <w:next w:val="1"/>
    <w:autoRedefine/>
    <w:qFormat/>
    <w:uiPriority w:val="0"/>
    <w:pPr>
      <w:spacing w:after="120" w:line="240" w:lineRule="auto"/>
      <w:ind w:firstLine="420" w:firstLineChars="100"/>
      <w:textAlignment w:val="auto"/>
    </w:pPr>
    <w:rPr>
      <w:rFonts w:eastAsia="宋体"/>
      <w:sz w:val="21"/>
    </w:rPr>
  </w:style>
  <w:style w:type="paragraph" w:styleId="17">
    <w:name w:val="Body Text First Indent 2"/>
    <w:basedOn w:val="6"/>
    <w:next w:val="1"/>
    <w:autoRedefine/>
    <w:qFormat/>
    <w:uiPriority w:val="0"/>
    <w:pPr>
      <w:ind w:firstLine="420" w:firstLineChars="200"/>
    </w:pPr>
  </w:style>
  <w:style w:type="table" w:styleId="19">
    <w:name w:val="Table Grid"/>
    <w:basedOn w:val="18"/>
    <w:autoRedefine/>
    <w:qFormat/>
    <w:uiPriority w:val="99"/>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character" w:styleId="21">
    <w:name w:val="page number"/>
    <w:basedOn w:val="20"/>
    <w:autoRedefine/>
    <w:qFormat/>
    <w:uiPriority w:val="99"/>
    <w:rPr>
      <w:rFonts w:cs="Times New Roman"/>
    </w:rPr>
  </w:style>
  <w:style w:type="character" w:styleId="22">
    <w:name w:val="FollowedHyperlink"/>
    <w:basedOn w:val="20"/>
    <w:autoRedefine/>
    <w:semiHidden/>
    <w:unhideWhenUsed/>
    <w:qFormat/>
    <w:uiPriority w:val="99"/>
    <w:rPr>
      <w:color w:val="800080" w:themeColor="followedHyperlink"/>
      <w:u w:val="single"/>
      <w14:textFill>
        <w14:solidFill>
          <w14:schemeClr w14:val="folHlink"/>
        </w14:solidFill>
      </w14:textFill>
    </w:rPr>
  </w:style>
  <w:style w:type="character" w:styleId="23">
    <w:name w:val="Hyperlink"/>
    <w:basedOn w:val="20"/>
    <w:autoRedefine/>
    <w:unhideWhenUsed/>
    <w:qFormat/>
    <w:uiPriority w:val="99"/>
    <w:rPr>
      <w:color w:val="0000FF" w:themeColor="hyperlink"/>
      <w:u w:val="single"/>
      <w14:textFill>
        <w14:solidFill>
          <w14:schemeClr w14:val="hlink"/>
        </w14:solidFill>
      </w14:textFill>
    </w:rPr>
  </w:style>
  <w:style w:type="character" w:styleId="24">
    <w:name w:val="annotation reference"/>
    <w:basedOn w:val="20"/>
    <w:autoRedefine/>
    <w:semiHidden/>
    <w:unhideWhenUsed/>
    <w:qFormat/>
    <w:uiPriority w:val="99"/>
    <w:rPr>
      <w:sz w:val="21"/>
      <w:szCs w:val="21"/>
    </w:rPr>
  </w:style>
  <w:style w:type="paragraph" w:customStyle="1" w:styleId="25">
    <w:name w:val="Default"/>
    <w:next w:val="1"/>
    <w:autoRedefine/>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character" w:customStyle="1" w:styleId="26">
    <w:name w:val="纯文本 字符"/>
    <w:basedOn w:val="20"/>
    <w:link w:val="7"/>
    <w:autoRedefine/>
    <w:qFormat/>
    <w:uiPriority w:val="99"/>
    <w:rPr>
      <w:rFonts w:ascii="宋体" w:hAnsi="Courier New" w:eastAsia="宋体" w:cs="Courier New"/>
      <w:szCs w:val="21"/>
    </w:rPr>
  </w:style>
  <w:style w:type="character" w:customStyle="1" w:styleId="27">
    <w:name w:val="日期 字符"/>
    <w:basedOn w:val="20"/>
    <w:link w:val="8"/>
    <w:autoRedefine/>
    <w:qFormat/>
    <w:uiPriority w:val="99"/>
    <w:rPr>
      <w:rFonts w:ascii="Times New Roman" w:hAnsi="Times New Roman" w:eastAsia="宋体" w:cs="Times New Roman"/>
      <w:szCs w:val="24"/>
    </w:rPr>
  </w:style>
  <w:style w:type="character" w:customStyle="1" w:styleId="28">
    <w:name w:val="批注框文本 字符"/>
    <w:basedOn w:val="20"/>
    <w:link w:val="9"/>
    <w:autoRedefine/>
    <w:semiHidden/>
    <w:qFormat/>
    <w:uiPriority w:val="99"/>
    <w:rPr>
      <w:rFonts w:ascii="Times New Roman" w:hAnsi="Times New Roman" w:eastAsia="宋体" w:cs="Times New Roman"/>
      <w:sz w:val="18"/>
      <w:szCs w:val="18"/>
    </w:rPr>
  </w:style>
  <w:style w:type="character" w:customStyle="1" w:styleId="29">
    <w:name w:val="页脚 字符"/>
    <w:basedOn w:val="20"/>
    <w:link w:val="10"/>
    <w:autoRedefine/>
    <w:qFormat/>
    <w:uiPriority w:val="99"/>
    <w:rPr>
      <w:rFonts w:ascii="Times New Roman" w:hAnsi="Times New Roman" w:eastAsia="宋体" w:cs="Times New Roman"/>
      <w:sz w:val="18"/>
      <w:szCs w:val="18"/>
    </w:rPr>
  </w:style>
  <w:style w:type="character" w:customStyle="1" w:styleId="30">
    <w:name w:val="页眉 字符"/>
    <w:basedOn w:val="20"/>
    <w:link w:val="11"/>
    <w:autoRedefine/>
    <w:qFormat/>
    <w:uiPriority w:val="99"/>
    <w:rPr>
      <w:rFonts w:ascii="Times New Roman" w:hAnsi="Times New Roman" w:eastAsia="宋体" w:cs="Times New Roman"/>
      <w:sz w:val="18"/>
      <w:szCs w:val="18"/>
    </w:rPr>
  </w:style>
  <w:style w:type="paragraph" w:styleId="31">
    <w:name w:val="List Paragraph"/>
    <w:basedOn w:val="1"/>
    <w:autoRedefine/>
    <w:qFormat/>
    <w:uiPriority w:val="1"/>
    <w:pPr>
      <w:ind w:firstLine="420" w:firstLineChars="200"/>
    </w:pPr>
  </w:style>
  <w:style w:type="paragraph" w:customStyle="1" w:styleId="32">
    <w:name w:val="表中字"/>
    <w:basedOn w:val="3"/>
    <w:autoRedefine/>
    <w:qFormat/>
    <w:uiPriority w:val="0"/>
    <w:pPr>
      <w:ind w:firstLine="0" w:firstLineChars="0"/>
      <w:jc w:val="center"/>
    </w:pPr>
    <w:rPr>
      <w:rFonts w:asciiTheme="minorHAnsi" w:hAnsiTheme="minorHAnsi" w:eastAsiaTheme="minorEastAsia" w:cstheme="minorBidi"/>
      <w:szCs w:val="22"/>
    </w:rPr>
  </w:style>
  <w:style w:type="paragraph" w:customStyle="1" w:styleId="33">
    <w:name w:val="普通(网站)1"/>
    <w:basedOn w:val="1"/>
    <w:autoRedefine/>
    <w:qFormat/>
    <w:uiPriority w:val="0"/>
    <w:pPr>
      <w:widowControl/>
      <w:spacing w:before="100" w:beforeAutospacing="1" w:after="100" w:afterAutospacing="1"/>
      <w:jc w:val="left"/>
    </w:pPr>
    <w:rPr>
      <w:rFonts w:ascii="宋体" w:hAnsi="宋体"/>
      <w:sz w:val="24"/>
      <w:szCs w:val="20"/>
    </w:rPr>
  </w:style>
  <w:style w:type="paragraph" w:customStyle="1" w:styleId="34">
    <w:name w:val="控评正文"/>
    <w:basedOn w:val="1"/>
    <w:link w:val="35"/>
    <w:autoRedefine/>
    <w:qFormat/>
    <w:uiPriority w:val="99"/>
    <w:pPr>
      <w:spacing w:line="500" w:lineRule="exact"/>
      <w:ind w:firstLine="556"/>
    </w:pPr>
    <w:rPr>
      <w:rFonts w:ascii="仿宋_GB2312"/>
      <w:color w:val="000000"/>
      <w:sz w:val="24"/>
      <w:szCs w:val="28"/>
    </w:rPr>
  </w:style>
  <w:style w:type="character" w:customStyle="1" w:styleId="35">
    <w:name w:val="控评正文 Char"/>
    <w:basedOn w:val="20"/>
    <w:link w:val="34"/>
    <w:autoRedefine/>
    <w:qFormat/>
    <w:locked/>
    <w:uiPriority w:val="99"/>
    <w:rPr>
      <w:rFonts w:ascii="仿宋_GB2312" w:hAnsi="Times New Roman" w:eastAsia="宋体" w:cs="Times New Roman"/>
      <w:color w:val="000000"/>
      <w:kern w:val="2"/>
      <w:sz w:val="24"/>
      <w:szCs w:val="28"/>
    </w:rPr>
  </w:style>
  <w:style w:type="character" w:customStyle="1" w:styleId="36">
    <w:name w:val="HTML 预设格式 字符"/>
    <w:basedOn w:val="20"/>
    <w:link w:val="13"/>
    <w:autoRedefine/>
    <w:qFormat/>
    <w:uiPriority w:val="99"/>
    <w:rPr>
      <w:rFonts w:ascii="Arial" w:hAnsi="Arial" w:eastAsia="宋体" w:cs="Arial"/>
      <w:sz w:val="24"/>
      <w:szCs w:val="24"/>
    </w:rPr>
  </w:style>
  <w:style w:type="character" w:customStyle="1" w:styleId="37">
    <w:name w:val="批注文字 字符"/>
    <w:basedOn w:val="20"/>
    <w:link w:val="4"/>
    <w:autoRedefine/>
    <w:semiHidden/>
    <w:qFormat/>
    <w:uiPriority w:val="99"/>
    <w:rPr>
      <w:kern w:val="2"/>
      <w:sz w:val="21"/>
      <w:szCs w:val="24"/>
    </w:rPr>
  </w:style>
  <w:style w:type="character" w:customStyle="1" w:styleId="38">
    <w:name w:val="批注主题 字符"/>
    <w:basedOn w:val="37"/>
    <w:link w:val="15"/>
    <w:autoRedefine/>
    <w:semiHidden/>
    <w:qFormat/>
    <w:uiPriority w:val="99"/>
    <w:rPr>
      <w:b/>
      <w:bCs/>
      <w:kern w:val="2"/>
      <w:sz w:val="21"/>
      <w:szCs w:val="24"/>
    </w:rPr>
  </w:style>
  <w:style w:type="paragraph" w:customStyle="1" w:styleId="39">
    <w:name w:val="报告书正文"/>
    <w:basedOn w:val="1"/>
    <w:autoRedefine/>
    <w:qFormat/>
    <w:uiPriority w:val="0"/>
    <w:pPr>
      <w:adjustRightInd w:val="0"/>
      <w:snapToGrid w:val="0"/>
      <w:spacing w:line="360" w:lineRule="auto"/>
      <w:ind w:firstLine="425"/>
      <w:textAlignment w:val="baseline"/>
    </w:pPr>
    <w:rPr>
      <w:rFonts w:ascii="Arial" w:hAnsi="Arial" w:cs="Times New Roman"/>
      <w:kern w:val="0"/>
      <w:sz w:val="24"/>
      <w:szCs w:val="24"/>
    </w:rPr>
  </w:style>
  <w:style w:type="paragraph" w:customStyle="1" w:styleId="40">
    <w:name w:val="C首行缩进正文"/>
    <w:basedOn w:val="1"/>
    <w:autoRedefine/>
    <w:qFormat/>
    <w:uiPriority w:val="0"/>
    <w:pPr>
      <w:spacing w:line="360" w:lineRule="auto"/>
      <w:ind w:firstLine="200" w:firstLineChars="200"/>
    </w:pPr>
    <w:rPr>
      <w:rFonts w:cs="宋体"/>
      <w:color w:val="000000"/>
      <w:kern w:val="0"/>
      <w:sz w:val="24"/>
    </w:rPr>
  </w:style>
</w:styles>
</file>

<file path=word/_rels/document.xml.rels><?xml version="1.0" encoding="UTF-8" standalone="yes"?>
<Relationships xmlns="http://schemas.openxmlformats.org/package/2006/relationships"><Relationship Id="rId99" Type="http://schemas.openxmlformats.org/officeDocument/2006/relationships/image" Target="media/image43.png"/><Relationship Id="rId98" Type="http://schemas.openxmlformats.org/officeDocument/2006/relationships/image" Target="media/image42.png"/><Relationship Id="rId97" Type="http://schemas.openxmlformats.org/officeDocument/2006/relationships/image" Target="media/image41.png"/><Relationship Id="rId96" Type="http://schemas.openxmlformats.org/officeDocument/2006/relationships/image" Target="media/image40.png"/><Relationship Id="rId95" Type="http://schemas.openxmlformats.org/officeDocument/2006/relationships/image" Target="media/image39.png"/><Relationship Id="rId94" Type="http://schemas.openxmlformats.org/officeDocument/2006/relationships/image" Target="media/image38.png"/><Relationship Id="rId93" Type="http://schemas.openxmlformats.org/officeDocument/2006/relationships/image" Target="media/image37.png"/><Relationship Id="rId92" Type="http://schemas.openxmlformats.org/officeDocument/2006/relationships/image" Target="media/image36.png"/><Relationship Id="rId91" Type="http://schemas.openxmlformats.org/officeDocument/2006/relationships/image" Target="media/image35.png"/><Relationship Id="rId90" Type="http://schemas.openxmlformats.org/officeDocument/2006/relationships/image" Target="media/image34.png"/><Relationship Id="rId9" Type="http://schemas.openxmlformats.org/officeDocument/2006/relationships/theme" Target="theme/theme1.xml"/><Relationship Id="rId89" Type="http://schemas.openxmlformats.org/officeDocument/2006/relationships/image" Target="media/image33.png"/><Relationship Id="rId88" Type="http://schemas.openxmlformats.org/officeDocument/2006/relationships/image" Target="media/image32.png"/><Relationship Id="rId87" Type="http://schemas.openxmlformats.org/officeDocument/2006/relationships/oleObject" Target="embeddings/oleObject47.bin"/><Relationship Id="rId86" Type="http://schemas.openxmlformats.org/officeDocument/2006/relationships/oleObject" Target="embeddings/oleObject46.bin"/><Relationship Id="rId85" Type="http://schemas.openxmlformats.org/officeDocument/2006/relationships/oleObject" Target="embeddings/oleObject45.bin"/><Relationship Id="rId84" Type="http://schemas.openxmlformats.org/officeDocument/2006/relationships/oleObject" Target="embeddings/oleObject44.bin"/><Relationship Id="rId83" Type="http://schemas.openxmlformats.org/officeDocument/2006/relationships/oleObject" Target="embeddings/oleObject43.bin"/><Relationship Id="rId82" Type="http://schemas.openxmlformats.org/officeDocument/2006/relationships/oleObject" Target="embeddings/oleObject42.bin"/><Relationship Id="rId81" Type="http://schemas.openxmlformats.org/officeDocument/2006/relationships/oleObject" Target="embeddings/oleObject41.bin"/><Relationship Id="rId80" Type="http://schemas.openxmlformats.org/officeDocument/2006/relationships/oleObject" Target="embeddings/oleObject40.bin"/><Relationship Id="rId8" Type="http://schemas.openxmlformats.org/officeDocument/2006/relationships/footer" Target="footer5.xml"/><Relationship Id="rId79" Type="http://schemas.openxmlformats.org/officeDocument/2006/relationships/image" Target="media/image31.wmf"/><Relationship Id="rId78" Type="http://schemas.openxmlformats.org/officeDocument/2006/relationships/oleObject" Target="embeddings/oleObject39.bin"/><Relationship Id="rId77" Type="http://schemas.openxmlformats.org/officeDocument/2006/relationships/image" Target="media/image30.wmf"/><Relationship Id="rId76" Type="http://schemas.openxmlformats.org/officeDocument/2006/relationships/oleObject" Target="embeddings/oleObject38.bin"/><Relationship Id="rId75" Type="http://schemas.openxmlformats.org/officeDocument/2006/relationships/oleObject" Target="embeddings/oleObject37.bin"/><Relationship Id="rId74" Type="http://schemas.openxmlformats.org/officeDocument/2006/relationships/oleObject" Target="embeddings/oleObject36.bin"/><Relationship Id="rId73" Type="http://schemas.openxmlformats.org/officeDocument/2006/relationships/oleObject" Target="embeddings/oleObject35.bin"/><Relationship Id="rId72" Type="http://schemas.openxmlformats.org/officeDocument/2006/relationships/oleObject" Target="embeddings/oleObject34.bin"/><Relationship Id="rId71" Type="http://schemas.openxmlformats.org/officeDocument/2006/relationships/oleObject" Target="embeddings/oleObject33.bin"/><Relationship Id="rId70" Type="http://schemas.openxmlformats.org/officeDocument/2006/relationships/oleObject" Target="embeddings/oleObject32.bin"/><Relationship Id="rId7" Type="http://schemas.openxmlformats.org/officeDocument/2006/relationships/footer" Target="footer4.xml"/><Relationship Id="rId69" Type="http://schemas.openxmlformats.org/officeDocument/2006/relationships/oleObject" Target="embeddings/oleObject31.bin"/><Relationship Id="rId68" Type="http://schemas.openxmlformats.org/officeDocument/2006/relationships/oleObject" Target="embeddings/oleObject30.bin"/><Relationship Id="rId67" Type="http://schemas.openxmlformats.org/officeDocument/2006/relationships/oleObject" Target="embeddings/oleObject29.bin"/><Relationship Id="rId66" Type="http://schemas.openxmlformats.org/officeDocument/2006/relationships/oleObject" Target="embeddings/oleObject28.bin"/><Relationship Id="rId65" Type="http://schemas.openxmlformats.org/officeDocument/2006/relationships/oleObject" Target="embeddings/oleObject27.bin"/><Relationship Id="rId64" Type="http://schemas.openxmlformats.org/officeDocument/2006/relationships/oleObject" Target="embeddings/oleObject26.bin"/><Relationship Id="rId63" Type="http://schemas.openxmlformats.org/officeDocument/2006/relationships/oleObject" Target="embeddings/oleObject25.bin"/><Relationship Id="rId62" Type="http://schemas.openxmlformats.org/officeDocument/2006/relationships/image" Target="media/image29.wmf"/><Relationship Id="rId61" Type="http://schemas.openxmlformats.org/officeDocument/2006/relationships/oleObject" Target="embeddings/oleObject24.bin"/><Relationship Id="rId60" Type="http://schemas.openxmlformats.org/officeDocument/2006/relationships/oleObject" Target="embeddings/oleObject23.bin"/><Relationship Id="rId6" Type="http://schemas.openxmlformats.org/officeDocument/2006/relationships/footer" Target="footer3.xml"/><Relationship Id="rId59" Type="http://schemas.openxmlformats.org/officeDocument/2006/relationships/oleObject" Target="embeddings/oleObject22.bin"/><Relationship Id="rId58" Type="http://schemas.openxmlformats.org/officeDocument/2006/relationships/oleObject" Target="embeddings/oleObject21.bin"/><Relationship Id="rId57" Type="http://schemas.openxmlformats.org/officeDocument/2006/relationships/oleObject" Target="embeddings/oleObject20.bin"/><Relationship Id="rId56" Type="http://schemas.openxmlformats.org/officeDocument/2006/relationships/image" Target="media/image28.wmf"/><Relationship Id="rId55" Type="http://schemas.openxmlformats.org/officeDocument/2006/relationships/oleObject" Target="embeddings/oleObject19.bin"/><Relationship Id="rId54" Type="http://schemas.openxmlformats.org/officeDocument/2006/relationships/image" Target="media/image27.wmf"/><Relationship Id="rId53" Type="http://schemas.openxmlformats.org/officeDocument/2006/relationships/oleObject" Target="embeddings/oleObject18.bin"/><Relationship Id="rId52" Type="http://schemas.openxmlformats.org/officeDocument/2006/relationships/image" Target="media/image26.wmf"/><Relationship Id="rId51" Type="http://schemas.openxmlformats.org/officeDocument/2006/relationships/oleObject" Target="embeddings/oleObject17.bin"/><Relationship Id="rId50" Type="http://schemas.openxmlformats.org/officeDocument/2006/relationships/image" Target="media/image25.wmf"/><Relationship Id="rId5" Type="http://schemas.openxmlformats.org/officeDocument/2006/relationships/header" Target="header1.xml"/><Relationship Id="rId49" Type="http://schemas.openxmlformats.org/officeDocument/2006/relationships/oleObject" Target="embeddings/oleObject16.bin"/><Relationship Id="rId48" Type="http://schemas.openxmlformats.org/officeDocument/2006/relationships/image" Target="media/image24.png"/><Relationship Id="rId47" Type="http://schemas.openxmlformats.org/officeDocument/2006/relationships/image" Target="media/image23.png"/><Relationship Id="rId46" Type="http://schemas.openxmlformats.org/officeDocument/2006/relationships/image" Target="media/image22.wmf"/><Relationship Id="rId45" Type="http://schemas.openxmlformats.org/officeDocument/2006/relationships/oleObject" Target="embeddings/oleObject15.bin"/><Relationship Id="rId44" Type="http://schemas.openxmlformats.org/officeDocument/2006/relationships/image" Target="media/image21.wmf"/><Relationship Id="rId43" Type="http://schemas.openxmlformats.org/officeDocument/2006/relationships/oleObject" Target="embeddings/oleObject14.bin"/><Relationship Id="rId42" Type="http://schemas.openxmlformats.org/officeDocument/2006/relationships/oleObject" Target="embeddings/oleObject13.bin"/><Relationship Id="rId41" Type="http://schemas.openxmlformats.org/officeDocument/2006/relationships/image" Target="media/image20.wmf"/><Relationship Id="rId40" Type="http://schemas.openxmlformats.org/officeDocument/2006/relationships/oleObject" Target="embeddings/oleObject12.bin"/><Relationship Id="rId4" Type="http://schemas.openxmlformats.org/officeDocument/2006/relationships/footer" Target="footer2.xml"/><Relationship Id="rId39" Type="http://schemas.openxmlformats.org/officeDocument/2006/relationships/image" Target="media/image19.wmf"/><Relationship Id="rId38" Type="http://schemas.openxmlformats.org/officeDocument/2006/relationships/oleObject" Target="embeddings/oleObject11.bin"/><Relationship Id="rId37" Type="http://schemas.openxmlformats.org/officeDocument/2006/relationships/image" Target="media/image18.wmf"/><Relationship Id="rId36" Type="http://schemas.openxmlformats.org/officeDocument/2006/relationships/oleObject" Target="embeddings/oleObject10.bin"/><Relationship Id="rId35" Type="http://schemas.openxmlformats.org/officeDocument/2006/relationships/image" Target="media/image17.wmf"/><Relationship Id="rId34" Type="http://schemas.openxmlformats.org/officeDocument/2006/relationships/oleObject" Target="embeddings/oleObject9.bin"/><Relationship Id="rId33" Type="http://schemas.openxmlformats.org/officeDocument/2006/relationships/image" Target="media/image16.wmf"/><Relationship Id="rId32" Type="http://schemas.openxmlformats.org/officeDocument/2006/relationships/image" Target="media/image15.wmf"/><Relationship Id="rId31" Type="http://schemas.openxmlformats.org/officeDocument/2006/relationships/oleObject" Target="embeddings/oleObject8.bin"/><Relationship Id="rId30" Type="http://schemas.openxmlformats.org/officeDocument/2006/relationships/image" Target="media/image14.wmf"/><Relationship Id="rId3" Type="http://schemas.openxmlformats.org/officeDocument/2006/relationships/footer" Target="footer1.xml"/><Relationship Id="rId29" Type="http://schemas.openxmlformats.org/officeDocument/2006/relationships/oleObject" Target="embeddings/oleObject7.bin"/><Relationship Id="rId28" Type="http://schemas.openxmlformats.org/officeDocument/2006/relationships/image" Target="media/image13.wmf"/><Relationship Id="rId27" Type="http://schemas.openxmlformats.org/officeDocument/2006/relationships/oleObject" Target="embeddings/oleObject6.bin"/><Relationship Id="rId26" Type="http://schemas.openxmlformats.org/officeDocument/2006/relationships/image" Target="media/image12.wmf"/><Relationship Id="rId25" Type="http://schemas.openxmlformats.org/officeDocument/2006/relationships/oleObject" Target="embeddings/oleObject5.bin"/><Relationship Id="rId24" Type="http://schemas.openxmlformats.org/officeDocument/2006/relationships/image" Target="media/image11.wmf"/><Relationship Id="rId23" Type="http://schemas.openxmlformats.org/officeDocument/2006/relationships/oleObject" Target="embeddings/oleObject4.bin"/><Relationship Id="rId22" Type="http://schemas.openxmlformats.org/officeDocument/2006/relationships/oleObject" Target="embeddings/oleObject3.bin"/><Relationship Id="rId21" Type="http://schemas.openxmlformats.org/officeDocument/2006/relationships/image" Target="media/image10.wmf"/><Relationship Id="rId20" Type="http://schemas.openxmlformats.org/officeDocument/2006/relationships/oleObject" Target="embeddings/oleObject2.bin"/><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image" Target="media/image6.jpeg"/><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png"/><Relationship Id="rId123" Type="http://schemas.openxmlformats.org/officeDocument/2006/relationships/fontTable" Target="fontTable.xml"/><Relationship Id="rId122" Type="http://schemas.openxmlformats.org/officeDocument/2006/relationships/numbering" Target="numbering.xml"/><Relationship Id="rId121" Type="http://schemas.openxmlformats.org/officeDocument/2006/relationships/customXml" Target="../customXml/item1.xml"/><Relationship Id="rId120" Type="http://schemas.openxmlformats.org/officeDocument/2006/relationships/image" Target="media/image64.png"/><Relationship Id="rId12" Type="http://schemas.openxmlformats.org/officeDocument/2006/relationships/image" Target="media/image2.emf"/><Relationship Id="rId119" Type="http://schemas.openxmlformats.org/officeDocument/2006/relationships/image" Target="media/image63.png"/><Relationship Id="rId118" Type="http://schemas.openxmlformats.org/officeDocument/2006/relationships/image" Target="media/image62.png"/><Relationship Id="rId117" Type="http://schemas.openxmlformats.org/officeDocument/2006/relationships/image" Target="media/image61.png"/><Relationship Id="rId116" Type="http://schemas.openxmlformats.org/officeDocument/2006/relationships/image" Target="media/image60.png"/><Relationship Id="rId115" Type="http://schemas.openxmlformats.org/officeDocument/2006/relationships/image" Target="media/image59.png"/><Relationship Id="rId114" Type="http://schemas.openxmlformats.org/officeDocument/2006/relationships/image" Target="media/image58.png"/><Relationship Id="rId113" Type="http://schemas.openxmlformats.org/officeDocument/2006/relationships/image" Target="media/image57.png"/><Relationship Id="rId112" Type="http://schemas.openxmlformats.org/officeDocument/2006/relationships/image" Target="media/image56.png"/><Relationship Id="rId111" Type="http://schemas.openxmlformats.org/officeDocument/2006/relationships/image" Target="media/image55.png"/><Relationship Id="rId110" Type="http://schemas.openxmlformats.org/officeDocument/2006/relationships/image" Target="media/image54.png"/><Relationship Id="rId11" Type="http://schemas.openxmlformats.org/officeDocument/2006/relationships/oleObject" Target="embeddings/oleObject1.bin"/><Relationship Id="rId109" Type="http://schemas.openxmlformats.org/officeDocument/2006/relationships/image" Target="media/image53.jpeg"/><Relationship Id="rId108" Type="http://schemas.openxmlformats.org/officeDocument/2006/relationships/image" Target="media/image52.jpeg"/><Relationship Id="rId107" Type="http://schemas.openxmlformats.org/officeDocument/2006/relationships/image" Target="media/image51.jpeg"/><Relationship Id="rId106" Type="http://schemas.openxmlformats.org/officeDocument/2006/relationships/image" Target="media/image50.jpeg"/><Relationship Id="rId105" Type="http://schemas.openxmlformats.org/officeDocument/2006/relationships/image" Target="media/image49.jpeg"/><Relationship Id="rId104" Type="http://schemas.openxmlformats.org/officeDocument/2006/relationships/image" Target="media/image48.png"/><Relationship Id="rId103" Type="http://schemas.openxmlformats.org/officeDocument/2006/relationships/image" Target="media/image47.png"/><Relationship Id="rId102" Type="http://schemas.openxmlformats.org/officeDocument/2006/relationships/image" Target="media/image46.png"/><Relationship Id="rId101" Type="http://schemas.openxmlformats.org/officeDocument/2006/relationships/image" Target="media/image45.png"/><Relationship Id="rId100" Type="http://schemas.openxmlformats.org/officeDocument/2006/relationships/image" Target="media/image44.pn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88</Pages>
  <Words>28354</Words>
  <Characters>33031</Characters>
  <Lines>206</Lines>
  <Paragraphs>58</Paragraphs>
  <TotalTime>51</TotalTime>
  <ScaleCrop>false</ScaleCrop>
  <LinksUpToDate>false</LinksUpToDate>
  <CharactersWithSpaces>33782</CharactersWithSpaces>
  <Application>WPS Office_12.1.0.16250_F1E327BC-269C-435d-A152-05C5408002CA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2021-04-11T12:56:00Z</dcterms:created>
  <dc:creator>ThinkPad</dc:creator>
  <cp:lastModifiedBy>梦觉人间</cp:lastModifiedBy>
  <cp:lastPrinted>2021-08-26T19:50:00Z</cp:lastPrinted>
  <dcterms:modified xsi:type="dcterms:W3CDTF">2024-03-11T03:48:39Z</dcterms:modified>
  <cp:revision>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2052-12.1.0.16250</vt:lpwstr>
  </property>
  <property fmtid="{D5CDD505-2E9C-101B-9397-08002B2CF9AE}" pid="3" name="ICV">
    <vt:lpwstr>391618A5A7524CE08CABBD231B18132D_13</vt:lpwstr>
  </property>
</Properties>
</file>