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rPr>
      </w:pPr>
      <w:bookmarkStart w:id="0" w:name="_GoBack"/>
      <w:r>
        <w:rPr>
          <w:rFonts w:hint="eastAsia" w:ascii="方正小标宋简体" w:hAnsi="方正小标宋简体" w:eastAsia="方正小标宋简体" w:cs="方正小标宋简体"/>
          <w:b w:val="0"/>
          <w:bCs w:val="0"/>
          <w:color w:val="000000"/>
          <w:kern w:val="0"/>
          <w:sz w:val="44"/>
          <w:szCs w:val="44"/>
        </w:rPr>
        <w:t>双鸭山市人民医院公开</w:t>
      </w:r>
      <w:r>
        <w:rPr>
          <w:rFonts w:hint="eastAsia" w:ascii="方正小标宋简体" w:hAnsi="方正小标宋简体" w:eastAsia="方正小标宋简体" w:cs="方正小标宋简体"/>
          <w:b w:val="0"/>
          <w:bCs w:val="0"/>
          <w:color w:val="000000"/>
          <w:kern w:val="0"/>
          <w:sz w:val="44"/>
          <w:szCs w:val="44"/>
          <w:lang w:eastAsia="zh-CN"/>
        </w:rPr>
        <w:t>引进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Calibri" w:hAnsi="Calibri" w:eastAsia="宋体" w:cs="Calibri"/>
          <w:color w:val="000000"/>
          <w:kern w:val="0"/>
          <w:szCs w:val="21"/>
        </w:rPr>
      </w:pPr>
      <w:r>
        <w:rPr>
          <w:rFonts w:hint="eastAsia" w:ascii="方正小标宋简体" w:hAnsi="方正小标宋简体" w:eastAsia="方正小标宋简体" w:cs="方正小标宋简体"/>
          <w:b w:val="0"/>
          <w:bCs w:val="0"/>
          <w:color w:val="000000"/>
          <w:kern w:val="0"/>
          <w:sz w:val="44"/>
          <w:szCs w:val="44"/>
        </w:rPr>
        <w:t>医疗技术人才</w:t>
      </w:r>
      <w:r>
        <w:rPr>
          <w:rFonts w:hint="eastAsia" w:ascii="方正小标宋简体" w:hAnsi="方正小标宋简体" w:eastAsia="方正小标宋简体" w:cs="方正小标宋简体"/>
          <w:b w:val="0"/>
          <w:bCs w:val="0"/>
          <w:color w:val="000000"/>
          <w:kern w:val="0"/>
          <w:sz w:val="44"/>
          <w:szCs w:val="44"/>
          <w:lang w:eastAsia="zh-CN"/>
        </w:rPr>
        <w:t>及技术骨干</w:t>
      </w:r>
      <w:r>
        <w:rPr>
          <w:rFonts w:hint="eastAsia" w:ascii="方正小标宋简体" w:hAnsi="方正小标宋简体" w:eastAsia="方正小标宋简体" w:cs="方正小标宋简体"/>
          <w:b w:val="0"/>
          <w:bCs w:val="0"/>
          <w:color w:val="000000"/>
          <w:kern w:val="0"/>
          <w:sz w:val="44"/>
          <w:szCs w:val="44"/>
        </w:rPr>
        <w:t>公告</w:t>
      </w:r>
    </w:p>
    <w:p>
      <w:pPr>
        <w:widowControl/>
        <w:shd w:val="clear" w:color="auto" w:fill="FFFFFF"/>
        <w:ind w:firstLine="960"/>
        <w:rPr>
          <w:rFonts w:ascii="Calibri" w:hAnsi="Calibri" w:eastAsia="宋体" w:cs="Calibri"/>
          <w:color w:val="000000"/>
          <w:kern w:val="0"/>
          <w:szCs w:val="21"/>
        </w:rPr>
      </w:pPr>
      <w:r>
        <w:rPr>
          <w:rFonts w:hint="eastAsia" w:ascii="宋体" w:hAnsi="宋体" w:eastAsia="宋体" w:cs="宋体"/>
          <w:b/>
          <w:bCs/>
          <w:color w:val="000000"/>
          <w:kern w:val="0"/>
          <w:sz w:val="32"/>
          <w:szCs w:val="32"/>
        </w:rPr>
        <w:t> </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照双鸭山市委、市政府的工作部署，双鸭山市人民医院已经顺利搬迁。为保证新医院工作的顺利开展,结合医院岗位实际需求，根据双鸭山市机构编制委员会《2017年第二次会议》纪要，双鸭山市人民医院拟面向社会公开</w:t>
      </w:r>
      <w:r>
        <w:rPr>
          <w:rFonts w:hint="eastAsia" w:ascii="仿宋_GB2312" w:hAnsi="仿宋_GB2312" w:eastAsia="仿宋_GB2312" w:cs="仿宋_GB2312"/>
          <w:color w:val="000000"/>
          <w:kern w:val="0"/>
          <w:sz w:val="32"/>
          <w:szCs w:val="32"/>
          <w:lang w:eastAsia="zh-CN"/>
        </w:rPr>
        <w:t>引进</w:t>
      </w:r>
      <w:r>
        <w:rPr>
          <w:rFonts w:hint="eastAsia" w:ascii="仿宋_GB2312" w:hAnsi="仿宋_GB2312" w:eastAsia="仿宋_GB2312" w:cs="仿宋_GB2312"/>
          <w:color w:val="000000"/>
          <w:kern w:val="0"/>
          <w:sz w:val="32"/>
          <w:szCs w:val="32"/>
        </w:rPr>
        <w:t>医疗技术</w:t>
      </w:r>
      <w:r>
        <w:rPr>
          <w:rFonts w:hint="eastAsia" w:ascii="仿宋_GB2312" w:hAnsi="仿宋_GB2312" w:eastAsia="仿宋_GB2312" w:cs="仿宋_GB2312"/>
          <w:color w:val="000000" w:themeColor="text1"/>
          <w:kern w:val="0"/>
          <w:sz w:val="32"/>
          <w:szCs w:val="32"/>
          <w14:textFill>
            <w14:solidFill>
              <w14:schemeClr w14:val="tx1"/>
            </w14:solidFill>
          </w14:textFill>
        </w:rPr>
        <w:t>人才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及技术骨干</w:t>
      </w:r>
      <w:r>
        <w:rPr>
          <w:rFonts w:hint="eastAsia" w:ascii="仿宋_GB2312" w:hAnsi="仿宋_GB2312" w:eastAsia="仿宋_GB2312" w:cs="仿宋_GB2312"/>
          <w:color w:val="000000"/>
          <w:kern w:val="0"/>
          <w:sz w:val="32"/>
          <w:szCs w:val="32"/>
        </w:rPr>
        <w:t>12名。</w:t>
      </w:r>
    </w:p>
    <w:p>
      <w:pPr>
        <w:widowControl/>
        <w:shd w:val="clear" w:color="auto" w:fill="FFFFFF"/>
        <w:spacing w:line="600" w:lineRule="atLeast"/>
        <w:ind w:left="1360" w:hanging="720"/>
        <w:jc w:val="both"/>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w:t>
      </w:r>
      <w:r>
        <w:rPr>
          <w:rFonts w:hint="eastAsia" w:ascii="黑体" w:hAnsi="黑体" w:eastAsia="黑体" w:cs="黑体"/>
          <w:b w:val="0"/>
          <w:bCs w:val="0"/>
          <w:color w:val="000000"/>
          <w:kern w:val="0"/>
          <w:sz w:val="32"/>
          <w:szCs w:val="32"/>
          <w:lang w:eastAsia="zh-CN"/>
        </w:rPr>
        <w:t>引进</w:t>
      </w:r>
      <w:r>
        <w:rPr>
          <w:rFonts w:hint="eastAsia" w:ascii="黑体" w:hAnsi="黑体" w:eastAsia="黑体" w:cs="黑体"/>
          <w:b w:val="0"/>
          <w:bCs w:val="0"/>
          <w:color w:val="000000"/>
          <w:kern w:val="0"/>
          <w:sz w:val="32"/>
          <w:szCs w:val="32"/>
        </w:rPr>
        <w:t>岗位、计划及要求</w:t>
      </w:r>
    </w:p>
    <w:p>
      <w:pPr>
        <w:widowControl/>
        <w:shd w:val="clear" w:color="auto" w:fill="FFFFFF"/>
        <w:spacing w:line="600" w:lineRule="atLeast"/>
        <w:ind w:firstLine="640"/>
        <w:jc w:val="both"/>
        <w:rPr>
          <w:rFonts w:ascii="Calibri" w:hAnsi="Calibri" w:eastAsia="宋体" w:cs="Calibri"/>
          <w:color w:val="000000"/>
          <w:kern w:val="0"/>
          <w:sz w:val="32"/>
          <w:szCs w:val="32"/>
        </w:rPr>
      </w:pPr>
      <w:r>
        <w:rPr>
          <w:rFonts w:hint="eastAsia" w:ascii="仿宋_GB2312" w:hAnsi="仿宋_GB2312" w:eastAsia="仿宋_GB2312" w:cs="仿宋_GB2312"/>
          <w:color w:val="000000"/>
          <w:kern w:val="0"/>
          <w:sz w:val="32"/>
          <w:szCs w:val="32"/>
        </w:rPr>
        <w:t>此次</w:t>
      </w:r>
      <w:r>
        <w:rPr>
          <w:rFonts w:hint="eastAsia" w:ascii="仿宋_GB2312" w:hAnsi="仿宋_GB2312" w:eastAsia="仿宋_GB2312" w:cs="仿宋_GB2312"/>
          <w:color w:val="000000"/>
          <w:kern w:val="0"/>
          <w:sz w:val="32"/>
          <w:szCs w:val="32"/>
          <w:lang w:eastAsia="zh-CN"/>
        </w:rPr>
        <w:t>引进</w:t>
      </w:r>
      <w:r>
        <w:rPr>
          <w:rFonts w:hint="eastAsia" w:ascii="仿宋_GB2312" w:hAnsi="仿宋_GB2312" w:eastAsia="仿宋_GB2312" w:cs="仿宋_GB2312"/>
          <w:color w:val="000000"/>
          <w:kern w:val="0"/>
          <w:sz w:val="32"/>
          <w:szCs w:val="32"/>
        </w:rPr>
        <w:t>专业技术人才岗位分别为高端人才岗位和技术骨干岗位，具体</w:t>
      </w:r>
      <w:r>
        <w:rPr>
          <w:rFonts w:hint="eastAsia" w:ascii="仿宋_GB2312" w:hAnsi="仿宋_GB2312" w:eastAsia="仿宋_GB2312" w:cs="仿宋_GB2312"/>
          <w:color w:val="000000"/>
          <w:kern w:val="0"/>
          <w:sz w:val="32"/>
          <w:szCs w:val="32"/>
          <w:lang w:eastAsia="zh-CN"/>
        </w:rPr>
        <w:t>引进</w:t>
      </w:r>
      <w:r>
        <w:rPr>
          <w:rFonts w:hint="eastAsia" w:ascii="仿宋_GB2312" w:hAnsi="仿宋_GB2312" w:eastAsia="仿宋_GB2312" w:cs="仿宋_GB2312"/>
          <w:color w:val="000000"/>
          <w:kern w:val="0"/>
          <w:sz w:val="32"/>
          <w:szCs w:val="32"/>
        </w:rPr>
        <w:t>岗位、计划及要求见附件。</w:t>
      </w:r>
    </w:p>
    <w:p>
      <w:pPr>
        <w:widowControl/>
        <w:shd w:val="clear" w:color="auto" w:fill="FFFFFF"/>
        <w:spacing w:line="600" w:lineRule="atLeast"/>
        <w:ind w:left="1360" w:hanging="720"/>
        <w:jc w:val="both"/>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w:t>
      </w:r>
      <w:r>
        <w:rPr>
          <w:rFonts w:hint="eastAsia" w:ascii="黑体" w:hAnsi="黑体" w:eastAsia="黑体" w:cs="黑体"/>
          <w:b w:val="0"/>
          <w:bCs w:val="0"/>
          <w:color w:val="000000"/>
          <w:kern w:val="0"/>
          <w:sz w:val="32"/>
          <w:szCs w:val="32"/>
          <w:lang w:eastAsia="zh-CN"/>
        </w:rPr>
        <w:t>引进</w:t>
      </w:r>
      <w:r>
        <w:rPr>
          <w:rFonts w:hint="eastAsia" w:ascii="黑体" w:hAnsi="黑体" w:eastAsia="黑体" w:cs="黑体"/>
          <w:b w:val="0"/>
          <w:bCs w:val="0"/>
          <w:color w:val="000000"/>
          <w:kern w:val="0"/>
          <w:sz w:val="32"/>
          <w:szCs w:val="32"/>
        </w:rPr>
        <w:t>条件</w:t>
      </w:r>
    </w:p>
    <w:p>
      <w:pPr>
        <w:widowControl/>
        <w:shd w:val="clear" w:color="auto" w:fill="FFFFFF"/>
        <w:spacing w:line="600" w:lineRule="atLeast"/>
        <w:ind w:firstLine="640"/>
        <w:jc w:val="both"/>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bCs/>
          <w:color w:val="000000"/>
          <w:kern w:val="0"/>
          <w:sz w:val="32"/>
          <w:szCs w:val="32"/>
        </w:rPr>
        <w:t>（一）基本条件</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1、具有中华人民共和国国籍，遵守中华人民共和国宪法、法律和法规，具有良好的品行和职业道德；</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2、身体健康，无传染病或重大疾病；</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3、具有岗位工作所需要的专业素质和能力；</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4、服从</w:t>
      </w:r>
      <w:r>
        <w:rPr>
          <w:rFonts w:hint="eastAsia" w:ascii="仿宋_GB2312" w:hAnsi="仿宋_GB2312" w:eastAsia="仿宋_GB2312" w:cs="仿宋_GB2312"/>
          <w:color w:val="000000"/>
          <w:kern w:val="0"/>
          <w:sz w:val="32"/>
          <w:szCs w:val="32"/>
          <w:lang w:eastAsia="zh-CN"/>
        </w:rPr>
        <w:t>引进</w:t>
      </w:r>
      <w:r>
        <w:rPr>
          <w:rFonts w:hint="eastAsia" w:ascii="仿宋_GB2312" w:hAnsi="仿宋_GB2312" w:eastAsia="仿宋_GB2312" w:cs="仿宋_GB2312"/>
          <w:color w:val="000000"/>
          <w:kern w:val="0"/>
          <w:sz w:val="32"/>
          <w:szCs w:val="32"/>
        </w:rPr>
        <w:t>单位对岗位的安排和调整</w:t>
      </w:r>
      <w:r>
        <w:rPr>
          <w:rFonts w:hint="eastAsia" w:ascii="仿宋_GB2312" w:hAnsi="仿宋_GB2312" w:eastAsia="仿宋_GB2312" w:cs="仿宋_GB2312"/>
          <w:color w:val="000000"/>
          <w:kern w:val="0"/>
          <w:sz w:val="32"/>
          <w:szCs w:val="32"/>
          <w:lang w:val="en-US" w:eastAsia="zh-CN"/>
        </w:rPr>
        <w:t>;</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5、具备</w:t>
      </w:r>
      <w:r>
        <w:rPr>
          <w:rFonts w:hint="eastAsia" w:ascii="仿宋_GB2312" w:hAnsi="仿宋_GB2312" w:eastAsia="仿宋_GB2312" w:cs="仿宋_GB2312"/>
          <w:color w:val="000000"/>
          <w:kern w:val="0"/>
          <w:sz w:val="32"/>
          <w:szCs w:val="32"/>
          <w:lang w:eastAsia="zh-CN"/>
        </w:rPr>
        <w:t>引进</w:t>
      </w:r>
      <w:r>
        <w:rPr>
          <w:rFonts w:hint="eastAsia" w:ascii="仿宋_GB2312" w:hAnsi="仿宋_GB2312" w:eastAsia="仿宋_GB2312" w:cs="仿宋_GB2312"/>
          <w:color w:val="000000"/>
          <w:kern w:val="0"/>
          <w:sz w:val="32"/>
          <w:szCs w:val="32"/>
        </w:rPr>
        <w:t>岗位所需要的其他条件：</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6、尚未解除党纪、政纪处分或正在接受纪律审查的人员，以及刑事处罚期限未满或涉嫌违法犯罪正在接受司法调查尚未做出结论的人员，不得报名应聘。</w:t>
      </w:r>
    </w:p>
    <w:p>
      <w:pPr>
        <w:widowControl/>
        <w:shd w:val="clear" w:color="auto" w:fill="FFFFFF"/>
        <w:spacing w:line="600" w:lineRule="atLeast"/>
        <w:ind w:firstLine="640"/>
        <w:jc w:val="both"/>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bCs/>
          <w:color w:val="000000"/>
          <w:kern w:val="0"/>
          <w:sz w:val="32"/>
          <w:szCs w:val="32"/>
        </w:rPr>
        <w:t>（二）具体条件</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1.高端技术人才应具备条件：</w:t>
      </w:r>
      <w:r>
        <w:rPr>
          <w:rFonts w:hint="eastAsia" w:ascii="仿宋_GB2312" w:hAnsi="仿宋_GB2312" w:eastAsia="仿宋_GB2312" w:cs="仿宋_GB2312"/>
          <w:color w:val="000000"/>
          <w:kern w:val="0"/>
          <w:sz w:val="32"/>
          <w:szCs w:val="32"/>
        </w:rPr>
        <w:t>具备丰富的临床经验，对所从事的专业领域有独到之处或在省内外有一定的影响力；具备较强的科研能力，有突出的科研成果或在省级以上医学刊物上发表过论文；具备较好的组织协调和沟通能力。有行政职务任职经历者优先录用。具体要求如下：</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年龄：50周岁（含）以下（</w:t>
      </w:r>
      <w:r>
        <w:rPr>
          <w:rFonts w:hint="eastAsia" w:ascii="仿宋_GB2312" w:hAnsi="仿宋_GB2312" w:eastAsia="仿宋_GB2312" w:cs="仿宋_GB2312"/>
          <w:color w:val="000000"/>
          <w:kern w:val="0"/>
          <w:sz w:val="32"/>
          <w:szCs w:val="32"/>
          <w:lang w:val="en-US" w:eastAsia="zh-CN"/>
        </w:rPr>
        <w:t>1968</w:t>
      </w:r>
      <w:r>
        <w:rPr>
          <w:rFonts w:hint="eastAsia" w:ascii="仿宋_GB2312" w:hAnsi="仿宋_GB2312" w:eastAsia="仿宋_GB2312" w:cs="仿宋_GB2312"/>
          <w:color w:val="000000"/>
          <w:kern w:val="0"/>
          <w:sz w:val="32"/>
          <w:szCs w:val="32"/>
        </w:rPr>
        <w:t>年1月1日以后出生）；</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学历：硕士研究生及以上学历：</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资格：具有相应专业的执业资格，副高级及以上职称；</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经历：在三甲医院工作并从事本专业满10年。</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2.技术骨干应具备条件：</w:t>
      </w:r>
    </w:p>
    <w:p>
      <w:pPr>
        <w:widowControl/>
        <w:shd w:val="clear" w:color="auto" w:fill="FFFFFF"/>
        <w:spacing w:line="600" w:lineRule="atLeast"/>
        <w:ind w:left="0" w:leftChars="0" w:firstLine="0" w:firstLineChars="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eastAsia="zh-CN"/>
        </w:rPr>
        <w:t>　　</w:t>
      </w:r>
      <w:r>
        <w:rPr>
          <w:rFonts w:hint="eastAsia" w:ascii="仿宋_GB2312" w:hAnsi="仿宋_GB2312" w:eastAsia="仿宋_GB2312" w:cs="仿宋_GB2312"/>
          <w:b/>
          <w:bCs/>
          <w:color w:val="000000"/>
          <w:kern w:val="0"/>
          <w:sz w:val="32"/>
          <w:szCs w:val="32"/>
        </w:rPr>
        <w:t>第一类：</w:t>
      </w:r>
      <w:r>
        <w:rPr>
          <w:rFonts w:hint="eastAsia" w:ascii="仿宋_GB2312" w:hAnsi="仿宋_GB2312" w:eastAsia="仿宋_GB2312" w:cs="仿宋_GB2312"/>
          <w:color w:val="000000"/>
          <w:kern w:val="0"/>
          <w:sz w:val="32"/>
          <w:szCs w:val="32"/>
        </w:rPr>
        <w:t>有独立处理重大病患和疑难杂症的能力（外科能独立带组完成复杂手术），有一定的科研能力，能够准确把握本专业的发展方向，具有较丰富的临床实践经验。具体要求如下：</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年龄：40周岁（含）以下（1978年1月1日以后出生）；</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学历：硕士研究生及以上学历；</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资格：具有相应专业的执业资格，中级及以上职称；</w:t>
      </w:r>
    </w:p>
    <w:p>
      <w:pPr>
        <w:widowControl/>
        <w:shd w:val="clear" w:color="auto" w:fill="FFFFFF"/>
        <w:spacing w:line="600" w:lineRule="atLeast"/>
        <w:ind w:left="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经历：在三甲医院工作并从事本专业满5年；</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其他：统招博士研究生应聘人员不受职称和工作年限限制。</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第二类：</w:t>
      </w:r>
      <w:r>
        <w:rPr>
          <w:rFonts w:hint="eastAsia" w:ascii="仿宋_GB2312" w:hAnsi="仿宋_GB2312" w:eastAsia="仿宋_GB2312" w:cs="仿宋_GB2312"/>
          <w:color w:val="000000"/>
          <w:kern w:val="0"/>
          <w:sz w:val="32"/>
          <w:szCs w:val="32"/>
        </w:rPr>
        <w:t>有独立处理重大病患和疑难杂症的能力（外科能独立带组完成复杂手术），有一定的科研能力，能够准确把握本专业的发展方向，具有较丰富的临床实践经验。具体要求如下：</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年龄：45周岁（含）以下（1973年1月1日以后出生）；</w:t>
      </w:r>
    </w:p>
    <w:p>
      <w:pPr>
        <w:widowControl/>
        <w:shd w:val="clear" w:color="auto" w:fill="FFFFFF"/>
        <w:spacing w:line="600" w:lineRule="atLeast"/>
        <w:ind w:left="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学历：统招本科及以上学历；</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资格：具有相应专业的执业资格，副高级及以上职称；</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经历：在三级甲等医院担任副主任及以上职务满2年，并在三甲医院从事工作满5年。</w:t>
      </w:r>
    </w:p>
    <w:p>
      <w:pPr>
        <w:widowControl/>
        <w:shd w:val="clear" w:color="auto" w:fill="FFFFFF"/>
        <w:spacing w:line="600" w:lineRule="atLeast"/>
        <w:ind w:firstLine="640"/>
        <w:jc w:val="both"/>
        <w:rPr>
          <w:rFonts w:ascii="Calibri" w:hAnsi="Calibri" w:eastAsia="宋体" w:cs="Calibri"/>
          <w:b w:val="0"/>
          <w:bCs w:val="0"/>
          <w:color w:val="000000"/>
          <w:kern w:val="0"/>
          <w:sz w:val="32"/>
          <w:szCs w:val="32"/>
        </w:rPr>
      </w:pPr>
      <w:r>
        <w:rPr>
          <w:rFonts w:hint="eastAsia" w:ascii="黑体" w:hAnsi="黑体" w:eastAsia="黑体" w:cs="Calibri"/>
          <w:b w:val="0"/>
          <w:bCs w:val="0"/>
          <w:color w:val="000000"/>
          <w:kern w:val="0"/>
          <w:sz w:val="32"/>
          <w:szCs w:val="32"/>
        </w:rPr>
        <w:t>三、</w:t>
      </w:r>
      <w:r>
        <w:rPr>
          <w:rFonts w:hint="eastAsia" w:ascii="黑体" w:hAnsi="黑体" w:eastAsia="黑体" w:cs="Calibri"/>
          <w:b w:val="0"/>
          <w:bCs w:val="0"/>
          <w:color w:val="000000"/>
          <w:kern w:val="0"/>
          <w:sz w:val="32"/>
          <w:szCs w:val="32"/>
          <w:lang w:eastAsia="zh-CN"/>
        </w:rPr>
        <w:t>引进</w:t>
      </w:r>
      <w:r>
        <w:rPr>
          <w:rFonts w:hint="eastAsia" w:ascii="黑体" w:hAnsi="黑体" w:eastAsia="黑体" w:cs="Calibri"/>
          <w:b w:val="0"/>
          <w:bCs w:val="0"/>
          <w:color w:val="000000"/>
          <w:kern w:val="0"/>
          <w:sz w:val="32"/>
          <w:szCs w:val="32"/>
        </w:rPr>
        <w:t>原则</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坚持公开、平等、竞争、择优的原则，实行岗位公开、自愿申报、择优选拔。</w:t>
      </w:r>
    </w:p>
    <w:p>
      <w:pPr>
        <w:widowControl/>
        <w:shd w:val="clear" w:color="auto" w:fill="FFFFFF"/>
        <w:spacing w:line="600" w:lineRule="atLeast"/>
        <w:ind w:firstLine="640"/>
        <w:jc w:val="both"/>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w:t>
      </w:r>
      <w:r>
        <w:rPr>
          <w:rFonts w:hint="eastAsia" w:ascii="黑体" w:hAnsi="黑体" w:eastAsia="黑体" w:cs="黑体"/>
          <w:b w:val="0"/>
          <w:bCs w:val="0"/>
          <w:color w:val="000000"/>
          <w:kern w:val="0"/>
          <w:sz w:val="32"/>
          <w:szCs w:val="32"/>
          <w:lang w:eastAsia="zh-CN"/>
        </w:rPr>
        <w:t>引进</w:t>
      </w:r>
      <w:r>
        <w:rPr>
          <w:rFonts w:hint="eastAsia" w:ascii="黑体" w:hAnsi="黑体" w:eastAsia="黑体" w:cs="黑体"/>
          <w:b w:val="0"/>
          <w:bCs w:val="0"/>
          <w:color w:val="000000"/>
          <w:kern w:val="0"/>
          <w:sz w:val="32"/>
          <w:szCs w:val="32"/>
        </w:rPr>
        <w:t>程序及方式</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在双鸭山市人社局和市卫计委网站发布</w:t>
      </w:r>
      <w:r>
        <w:rPr>
          <w:rFonts w:hint="eastAsia" w:ascii="仿宋_GB2312" w:hAnsi="仿宋_GB2312" w:eastAsia="仿宋_GB2312" w:cs="仿宋_GB2312"/>
          <w:color w:val="000000"/>
          <w:kern w:val="0"/>
          <w:sz w:val="32"/>
          <w:szCs w:val="32"/>
          <w:lang w:eastAsia="zh-CN"/>
        </w:rPr>
        <w:t>引进</w:t>
      </w:r>
      <w:r>
        <w:rPr>
          <w:rFonts w:hint="eastAsia" w:ascii="仿宋_GB2312" w:hAnsi="仿宋_GB2312" w:eastAsia="仿宋_GB2312" w:cs="仿宋_GB2312"/>
          <w:color w:val="000000"/>
          <w:kern w:val="0"/>
          <w:sz w:val="32"/>
          <w:szCs w:val="32"/>
        </w:rPr>
        <w:t>公告。高端技术人才和技术骨干之间无报名比例限制,各岗位需求根据报名情况进行调整。应聘人员免笔试直接进行面试和考核，考核合格后进入体检。</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1.报名方式、时间、地点。</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报名方式：现场报名；</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现场报名地点：双鸭山市人民医院人事科</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时间：</w:t>
      </w:r>
      <w:r>
        <w:rPr>
          <w:rFonts w:hint="eastAsia" w:ascii="仿宋_GB2312" w:hAnsi="仿宋_GB2312" w:eastAsia="仿宋_GB2312" w:cs="仿宋_GB2312"/>
          <w:color w:val="000000"/>
          <w:kern w:val="0"/>
          <w:sz w:val="32"/>
          <w:szCs w:val="32"/>
          <w:lang w:val="en-US" w:eastAsia="zh-CN"/>
        </w:rPr>
        <w:t>2018年5月21日</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咨询电话：0469-4245705。</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2.报名提交材料。</w:t>
      </w:r>
      <w:r>
        <w:rPr>
          <w:rFonts w:hint="eastAsia" w:ascii="仿宋_GB2312" w:hAnsi="仿宋_GB2312" w:eastAsia="仿宋_GB2312" w:cs="仿宋_GB2312"/>
          <w:color w:val="000000"/>
          <w:kern w:val="0"/>
          <w:sz w:val="32"/>
          <w:szCs w:val="32"/>
        </w:rPr>
        <w:t>身份证、毕业证书、学位证书、教育部学历证书电子注册备案表（网</w:t>
      </w:r>
      <w:r>
        <w:rPr>
          <w:rFonts w:hint="eastAsia" w:ascii="仿宋_GB2312" w:hAnsi="仿宋_GB2312" w:eastAsia="仿宋_GB2312" w:cs="仿宋_GB2312"/>
          <w:color w:val="000000"/>
          <w:kern w:val="0"/>
          <w:sz w:val="32"/>
          <w:szCs w:val="32"/>
          <w:lang w:eastAsia="zh-CN"/>
        </w:rPr>
        <w:t>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"http://www.chsi.com.cn/"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FF"/>
          <w:kern w:val="0"/>
          <w:sz w:val="32"/>
          <w:szCs w:val="32"/>
          <w:u w:val="single"/>
        </w:rPr>
        <w:t>http://www.chsi.com.cn/</w:t>
      </w:r>
      <w:r>
        <w:rPr>
          <w:rFonts w:hint="eastAsia" w:ascii="仿宋_GB2312" w:hAnsi="仿宋_GB2312" w:eastAsia="仿宋_GB2312" w:cs="仿宋_GB2312"/>
          <w:color w:val="0000FF"/>
          <w:kern w:val="0"/>
          <w:sz w:val="32"/>
          <w:szCs w:val="32"/>
          <w:u w:val="single"/>
        </w:rPr>
        <w:fldChar w:fldCharType="end"/>
      </w:r>
      <w:r>
        <w:rPr>
          <w:rFonts w:hint="eastAsia" w:ascii="仿宋_GB2312" w:hAnsi="仿宋_GB2312" w:eastAsia="仿宋_GB2312" w:cs="仿宋_GB2312"/>
          <w:color w:val="000000"/>
          <w:kern w:val="0"/>
          <w:sz w:val="32"/>
          <w:szCs w:val="32"/>
        </w:rPr>
        <w:t>）、医师资格证和执业证、职称证和其它有效证明原件和复印件及工作经历证明、业绩成果等资料，报名时提交。</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3.面试考核。</w:t>
      </w:r>
      <w:r>
        <w:rPr>
          <w:rFonts w:hint="eastAsia" w:ascii="仿宋_GB2312" w:hAnsi="仿宋_GB2312" w:eastAsia="仿宋_GB2312" w:cs="仿宋_GB2312"/>
          <w:color w:val="000000"/>
          <w:kern w:val="0"/>
          <w:sz w:val="32"/>
          <w:szCs w:val="32"/>
        </w:rPr>
        <w:t>面试考核同时进行，面试评委5-7名，外请专家组成。重点考核应聘人员的思想政治表现、道德品质、业务能力、工作实绩、拟任岗位资格等情况，考核结果作为聘用的依据，时间另行通知。</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4.体检。</w:t>
      </w:r>
      <w:r>
        <w:rPr>
          <w:rFonts w:hint="eastAsia" w:ascii="仿宋_GB2312" w:hAnsi="仿宋_GB2312" w:eastAsia="仿宋_GB2312" w:cs="仿宋_GB2312"/>
          <w:color w:val="000000"/>
          <w:kern w:val="0"/>
          <w:sz w:val="32"/>
          <w:szCs w:val="32"/>
        </w:rPr>
        <w:t>考核合格人员进入体检环节。体检标准参照《公务员录用体检通用标准（试行）》执行。体检合格者确定为拟聘用对象，时间另行通知。</w:t>
      </w:r>
    </w:p>
    <w:p>
      <w:pPr>
        <w:widowControl/>
        <w:shd w:val="clear" w:color="auto" w:fill="FFFFFF"/>
        <w:spacing w:line="60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5.公示。</w:t>
      </w:r>
      <w:r>
        <w:rPr>
          <w:rFonts w:hint="eastAsia" w:ascii="仿宋_GB2312" w:hAnsi="仿宋_GB2312" w:eastAsia="仿宋_GB2312" w:cs="仿宋_GB2312"/>
          <w:color w:val="000000"/>
          <w:kern w:val="0"/>
          <w:sz w:val="32"/>
          <w:szCs w:val="32"/>
        </w:rPr>
        <w:t>经考核、体检合格的拟聘用人员进行公示，公示期为5个工作日。联系电话：市卫计委0469-6106018、市人民院0469-4264255。</w:t>
      </w:r>
    </w:p>
    <w:p>
      <w:pPr>
        <w:widowControl/>
        <w:shd w:val="clear" w:color="auto" w:fill="FFFFFF"/>
        <w:spacing w:line="600" w:lineRule="atLeast"/>
        <w:ind w:firstLine="640"/>
        <w:jc w:val="both"/>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五、待遇</w:t>
      </w:r>
    </w:p>
    <w:p>
      <w:pPr>
        <w:widowControl/>
        <w:shd w:val="clear" w:color="auto" w:fill="FFFFFF"/>
        <w:spacing w:line="600" w:lineRule="atLeas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拟聘用人员按程序办理相关手续，试用期一年，试用期满考核不合格的解除聘用手续。</w:t>
      </w:r>
    </w:p>
    <w:p>
      <w:pPr>
        <w:widowControl/>
        <w:shd w:val="clear" w:color="auto" w:fill="FFFFFF"/>
        <w:spacing w:line="560" w:lineRule="atLeast"/>
        <w:ind w:firstLine="640"/>
        <w:jc w:val="both"/>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bCs/>
          <w:color w:val="000000"/>
          <w:kern w:val="0"/>
          <w:sz w:val="32"/>
          <w:szCs w:val="32"/>
        </w:rPr>
        <w:t>（一）高端人才岗位享受以下待遇：</w:t>
      </w:r>
    </w:p>
    <w:p>
      <w:pPr>
        <w:widowControl/>
        <w:shd w:val="clear" w:color="auto" w:fill="FFFFFF"/>
        <w:spacing w:line="56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1、落实双鸭山市财政差额拨款事业单位编制，享受双鸭山市在编医疗人员的</w:t>
      </w:r>
      <w:r>
        <w:rPr>
          <w:rFonts w:hint="eastAsia" w:ascii="仿宋_GB2312" w:hAnsi="仿宋_GB2312" w:eastAsia="仿宋_GB2312" w:cs="仿宋_GB2312"/>
          <w:color w:val="000000"/>
          <w:kern w:val="0"/>
          <w:sz w:val="32"/>
          <w:szCs w:val="32"/>
          <w:lang w:eastAsia="zh-CN"/>
        </w:rPr>
        <w:t>同等</w:t>
      </w:r>
      <w:r>
        <w:rPr>
          <w:rFonts w:hint="eastAsia" w:ascii="仿宋_GB2312" w:hAnsi="仿宋_GB2312" w:eastAsia="仿宋_GB2312" w:cs="仿宋_GB2312"/>
          <w:color w:val="000000"/>
          <w:kern w:val="0"/>
          <w:sz w:val="32"/>
          <w:szCs w:val="32"/>
        </w:rPr>
        <w:t>待遇；</w:t>
      </w:r>
    </w:p>
    <w:p>
      <w:pPr>
        <w:widowControl/>
        <w:shd w:val="clear" w:color="auto" w:fill="FFFFFF"/>
        <w:spacing w:line="56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2、录用人员报市政府批准后</w:t>
      </w:r>
      <w:r>
        <w:rPr>
          <w:rFonts w:hint="eastAsia" w:ascii="仿宋_GB2312" w:hAnsi="仿宋_GB2312" w:eastAsia="仿宋_GB2312" w:cs="仿宋_GB2312"/>
          <w:color w:val="000000"/>
          <w:kern w:val="0"/>
          <w:sz w:val="32"/>
          <w:szCs w:val="32"/>
          <w:lang w:eastAsia="zh-CN"/>
        </w:rPr>
        <w:t>，按政策给予一定的补助；</w:t>
      </w:r>
    </w:p>
    <w:p>
      <w:pPr>
        <w:widowControl/>
        <w:shd w:val="clear" w:color="auto" w:fill="FFFFFF"/>
        <w:spacing w:line="56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3、给予科主任相应待遇；</w:t>
      </w:r>
    </w:p>
    <w:p>
      <w:pPr>
        <w:widowControl/>
        <w:shd w:val="clear" w:color="auto" w:fill="FFFFFF"/>
        <w:spacing w:line="56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4、聘任相应的专业技术职务。</w:t>
      </w:r>
    </w:p>
    <w:p>
      <w:pPr>
        <w:widowControl/>
        <w:shd w:val="clear" w:color="auto" w:fill="FFFFFF"/>
        <w:spacing w:line="560" w:lineRule="atLeast"/>
        <w:ind w:firstLine="643" w:firstLineChars="200"/>
        <w:jc w:val="both"/>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bCs/>
          <w:color w:val="000000"/>
          <w:kern w:val="0"/>
          <w:sz w:val="32"/>
          <w:szCs w:val="32"/>
        </w:rPr>
        <w:t>（二）技术骨干岗位享受以下待遇：</w:t>
      </w:r>
    </w:p>
    <w:p>
      <w:pPr>
        <w:widowControl/>
        <w:shd w:val="clear" w:color="auto" w:fill="FFFFFF"/>
        <w:spacing w:line="56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1、落实双鸭山市财政差额拨款事业单位编制，享受双鸭山市在编医疗人员的</w:t>
      </w:r>
      <w:r>
        <w:rPr>
          <w:rFonts w:hint="eastAsia" w:ascii="仿宋_GB2312" w:hAnsi="仿宋_GB2312" w:eastAsia="仿宋_GB2312" w:cs="仿宋_GB2312"/>
          <w:color w:val="000000"/>
          <w:kern w:val="0"/>
          <w:sz w:val="32"/>
          <w:szCs w:val="32"/>
          <w:lang w:eastAsia="zh-CN"/>
        </w:rPr>
        <w:t>同等</w:t>
      </w:r>
      <w:r>
        <w:rPr>
          <w:rFonts w:hint="eastAsia" w:ascii="仿宋_GB2312" w:hAnsi="仿宋_GB2312" w:eastAsia="仿宋_GB2312" w:cs="仿宋_GB2312"/>
          <w:color w:val="000000"/>
          <w:kern w:val="0"/>
          <w:sz w:val="32"/>
          <w:szCs w:val="32"/>
        </w:rPr>
        <w:t>待遇；</w:t>
      </w:r>
    </w:p>
    <w:p>
      <w:pPr>
        <w:widowControl/>
        <w:shd w:val="clear" w:color="auto" w:fill="FFFFFF"/>
        <w:spacing w:line="56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2、博士生一次性给予安家补助费20万元，给予科室副主任相应的待遇；</w:t>
      </w:r>
    </w:p>
    <w:p>
      <w:pPr>
        <w:widowControl/>
        <w:shd w:val="clear" w:color="auto" w:fill="FFFFFF"/>
        <w:spacing w:line="56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3、硕士研究生一次性给予补助费3万元；</w:t>
      </w:r>
    </w:p>
    <w:p>
      <w:pPr>
        <w:widowControl/>
        <w:shd w:val="clear" w:color="auto" w:fill="FFFFFF"/>
        <w:spacing w:line="560" w:lineRule="atLeast"/>
        <w:ind w:firstLine="64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4、聘任相应的专业技术职务；</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六、服务期限</w:t>
      </w:r>
    </w:p>
    <w:p>
      <w:pPr>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此次引进医疗技术人才及技术骨干最低服务年限为10年，服务期未满不得调离或辞职。如特殊情况确需调离或辞职的，需</w:t>
      </w:r>
      <w:r>
        <w:rPr>
          <w:rFonts w:hint="eastAsia" w:ascii="仿宋_GB2312" w:hAnsi="仿宋_GB2312" w:eastAsia="仿宋_GB2312" w:cs="仿宋_GB2312"/>
          <w:color w:val="000000"/>
          <w:kern w:val="0"/>
          <w:sz w:val="32"/>
          <w:szCs w:val="32"/>
        </w:rPr>
        <w:t>返还补助费总额的一半，方可办理调离手续。</w:t>
      </w:r>
    </w:p>
    <w:p>
      <w:pPr>
        <w:ind w:firstLine="640" w:firstLineChars="200"/>
        <w:rPr>
          <w:rFonts w:hint="eastAsia" w:ascii="仿宋_GB2312" w:hAnsi="仿宋_GB2312" w:eastAsia="仿宋_GB2312" w:cs="仿宋_GB2312"/>
          <w:color w:val="000000"/>
          <w:kern w:val="0"/>
          <w:sz w:val="32"/>
          <w:szCs w:val="32"/>
        </w:rPr>
      </w:pPr>
    </w:p>
    <w:p>
      <w:pPr>
        <w:ind w:firstLine="640" w:firstLineChars="200"/>
        <w:rPr>
          <w:rFonts w:hint="eastAsia" w:ascii="仿宋_GB2312" w:hAnsi="仿宋_GB2312" w:eastAsia="仿宋_GB2312" w:cs="仿宋_GB2312"/>
          <w:color w:val="000000"/>
          <w:kern w:val="0"/>
          <w:sz w:val="32"/>
          <w:szCs w:val="32"/>
        </w:rPr>
      </w:pPr>
    </w:p>
    <w:p>
      <w:pPr>
        <w:ind w:firstLine="640" w:firstLineChars="200"/>
        <w:rPr>
          <w:rFonts w:hint="eastAsia" w:ascii="仿宋_GB2312" w:hAnsi="仿宋_GB2312" w:eastAsia="仿宋_GB2312" w:cs="仿宋_GB2312"/>
          <w:color w:val="000000"/>
          <w:kern w:val="0"/>
          <w:sz w:val="32"/>
          <w:szCs w:val="32"/>
        </w:rPr>
      </w:pPr>
    </w:p>
    <w:p>
      <w:pPr>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双鸭山市人民医院    </w:t>
      </w:r>
    </w:p>
    <w:p>
      <w:pPr>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2018年5月18日</w:t>
      </w:r>
    </w:p>
    <w:bookmarkEnd w:id="0"/>
    <w:p>
      <w:pPr>
        <w:widowControl/>
        <w:shd w:val="clear" w:color="auto" w:fill="FFFFFF"/>
        <w:spacing w:line="560" w:lineRule="atLeast"/>
        <w:ind w:firstLine="640"/>
        <w:rPr>
          <w:rFonts w:hint="eastAsia" w:ascii="仿宋_GB2312" w:hAnsi="仿宋_GB2312" w:eastAsia="仿宋_GB2312" w:cs="仿宋_GB2312"/>
          <w:color w:val="000000"/>
          <w:kern w:val="0"/>
          <w:sz w:val="32"/>
          <w:szCs w:val="32"/>
        </w:rPr>
      </w:pPr>
    </w:p>
    <w:p>
      <w:pPr>
        <w:widowControl/>
        <w:shd w:val="clear" w:color="auto" w:fill="FFFFFF"/>
        <w:textAlignment w:val="baseline"/>
        <w:rPr>
          <w:rFonts w:ascii="Calibri" w:hAnsi="Calibri" w:eastAsia="宋体" w:cs="Calibri"/>
          <w:color w:val="000000"/>
          <w:kern w:val="0"/>
          <w:szCs w:val="21"/>
        </w:rPr>
      </w:pPr>
      <w:r>
        <w:rPr>
          <w:rFonts w:hint="eastAsia" w:ascii="仿宋_GB2312" w:hAnsi="Calibri" w:eastAsia="仿宋_GB2312" w:cs="Calibri"/>
          <w:color w:val="333333"/>
          <w:kern w:val="0"/>
          <w:sz w:val="36"/>
          <w:szCs w:val="36"/>
        </w:rPr>
        <w:t> </w:t>
      </w:r>
    </w:p>
    <w:p>
      <w:pPr>
        <w:widowControl/>
        <w:shd w:val="clear" w:color="auto" w:fill="FFFFFF"/>
        <w:textAlignment w:val="baseline"/>
        <w:rPr>
          <w:rFonts w:ascii="Calibri" w:hAnsi="Calibri" w:eastAsia="宋体" w:cs="Calibri"/>
          <w:color w:val="000000"/>
          <w:kern w:val="0"/>
          <w:szCs w:val="21"/>
        </w:rPr>
      </w:pPr>
      <w:r>
        <w:rPr>
          <w:rFonts w:hint="eastAsia" w:ascii="仿宋_GB2312" w:hAnsi="Calibri" w:eastAsia="仿宋_GB2312" w:cs="Calibri"/>
          <w:color w:val="333333"/>
          <w:kern w:val="0"/>
          <w:sz w:val="36"/>
          <w:szCs w:val="36"/>
        </w:rPr>
        <w:t> </w:t>
      </w:r>
    </w:p>
    <w:p>
      <w:pPr>
        <w:widowControl/>
        <w:shd w:val="clear" w:color="auto" w:fill="FFFFFF"/>
        <w:textAlignment w:val="baseline"/>
        <w:rPr>
          <w:rFonts w:ascii="Calibri" w:hAnsi="Calibri" w:eastAsia="宋体" w:cs="Calibri"/>
          <w:color w:val="000000"/>
          <w:kern w:val="0"/>
          <w:szCs w:val="21"/>
        </w:rPr>
      </w:pPr>
      <w:r>
        <w:rPr>
          <w:rFonts w:hint="eastAsia" w:ascii="仿宋_GB2312" w:hAnsi="Calibri" w:eastAsia="仿宋_GB2312" w:cs="Calibri"/>
          <w:color w:val="333333"/>
          <w:kern w:val="0"/>
          <w:sz w:val="36"/>
          <w:szCs w:val="36"/>
        </w:rPr>
        <w:t> </w:t>
      </w:r>
    </w:p>
    <w:p>
      <w:pPr>
        <w:widowControl/>
        <w:shd w:val="clear" w:color="auto" w:fill="FFFFFF"/>
        <w:textAlignment w:val="baseline"/>
        <w:rPr>
          <w:rFonts w:ascii="Calibri" w:hAnsi="Calibri" w:eastAsia="宋体" w:cs="Calibri"/>
          <w:color w:val="000000"/>
          <w:kern w:val="0"/>
          <w:szCs w:val="21"/>
        </w:rPr>
      </w:pPr>
      <w:r>
        <w:rPr>
          <w:rFonts w:hint="eastAsia" w:ascii="仿宋_GB2312" w:hAnsi="Calibri" w:eastAsia="仿宋_GB2312" w:cs="Calibri"/>
          <w:color w:val="333333"/>
          <w:kern w:val="0"/>
          <w:sz w:val="36"/>
          <w:szCs w:val="36"/>
        </w:rPr>
        <w:t> </w:t>
      </w:r>
    </w:p>
    <w:p>
      <w:pPr>
        <w:widowControl/>
        <w:shd w:val="clear" w:color="auto" w:fill="FFFFFF"/>
        <w:textAlignment w:val="baseline"/>
        <w:rPr>
          <w:rFonts w:ascii="Calibri" w:hAnsi="Calibri" w:eastAsia="宋体" w:cs="Calibri"/>
          <w:color w:val="000000"/>
          <w:kern w:val="0"/>
          <w:szCs w:val="21"/>
        </w:rPr>
      </w:pPr>
      <w:r>
        <w:rPr>
          <w:rFonts w:hint="eastAsia" w:ascii="仿宋_GB2312" w:hAnsi="Calibri" w:eastAsia="仿宋_GB2312" w:cs="Calibri"/>
          <w:color w:val="333333"/>
          <w:kern w:val="0"/>
          <w:sz w:val="36"/>
          <w:szCs w:val="36"/>
        </w:rPr>
        <w:t> </w:t>
      </w:r>
      <w:r>
        <w:rPr>
          <w:rFonts w:hint="eastAsia" w:ascii="方正小标宋简体" w:hAnsi="Calibri" w:eastAsia="方正小标宋简体" w:cs="Calibri"/>
          <w:color w:val="333333"/>
          <w:kern w:val="0"/>
          <w:sz w:val="36"/>
          <w:szCs w:val="36"/>
        </w:rPr>
        <w:t>2018年双鸭山市人民医院公开</w:t>
      </w:r>
      <w:r>
        <w:rPr>
          <w:rFonts w:hint="eastAsia" w:ascii="方正小标宋简体" w:hAnsi="Calibri" w:eastAsia="方正小标宋简体" w:cs="Calibri"/>
          <w:color w:val="333333"/>
          <w:kern w:val="0"/>
          <w:sz w:val="36"/>
          <w:szCs w:val="36"/>
          <w:lang w:eastAsia="zh-CN"/>
        </w:rPr>
        <w:t>引进</w:t>
      </w:r>
      <w:r>
        <w:rPr>
          <w:rFonts w:hint="eastAsia" w:ascii="方正小标宋简体" w:hAnsi="Calibri" w:eastAsia="方正小标宋简体" w:cs="Calibri"/>
          <w:color w:val="333333"/>
          <w:kern w:val="0"/>
          <w:sz w:val="36"/>
          <w:szCs w:val="36"/>
        </w:rPr>
        <w:t>医疗人才计划表</w:t>
      </w:r>
    </w:p>
    <w:tbl>
      <w:tblPr>
        <w:tblStyle w:val="5"/>
        <w:tblW w:w="8330" w:type="dxa"/>
        <w:tblInd w:w="0" w:type="dxa"/>
        <w:shd w:val="clear" w:color="auto" w:fill="FFFFFF"/>
        <w:tblLayout w:type="fixed"/>
        <w:tblCellMar>
          <w:top w:w="0" w:type="dxa"/>
          <w:left w:w="0" w:type="dxa"/>
          <w:bottom w:w="0" w:type="dxa"/>
          <w:right w:w="0" w:type="dxa"/>
        </w:tblCellMar>
      </w:tblPr>
      <w:tblGrid>
        <w:gridCol w:w="817"/>
        <w:gridCol w:w="1134"/>
        <w:gridCol w:w="1701"/>
        <w:gridCol w:w="1418"/>
        <w:gridCol w:w="1984"/>
        <w:gridCol w:w="1276"/>
      </w:tblGrid>
      <w:tr>
        <w:tblPrEx>
          <w:shd w:val="clear" w:color="auto" w:fill="FFFFFF"/>
          <w:tblLayout w:type="fixed"/>
          <w:tblCellMar>
            <w:top w:w="0" w:type="dxa"/>
            <w:left w:w="0" w:type="dxa"/>
            <w:bottom w:w="0" w:type="dxa"/>
            <w:right w:w="0" w:type="dxa"/>
          </w:tblCellMar>
        </w:tblPrEx>
        <w:trPr>
          <w:trHeight w:val="605" w:hRule="atLeast"/>
        </w:trPr>
        <w:tc>
          <w:tcPr>
            <w:tcW w:w="817" w:type="dxa"/>
            <w:vMerge w:val="restart"/>
            <w:tcBorders>
              <w:top w:val="double" w:color="auto" w:sz="2" w:space="0"/>
              <w:left w:val="double" w:color="auto" w:sz="2"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疗</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技</w:t>
            </w:r>
          </w:p>
        </w:tc>
        <w:tc>
          <w:tcPr>
            <w:tcW w:w="1134" w:type="dxa"/>
            <w:tcBorders>
              <w:top w:val="double" w:color="auto" w:sz="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岗位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类别</w:t>
            </w:r>
          </w:p>
        </w:tc>
        <w:tc>
          <w:tcPr>
            <w:tcW w:w="1701" w:type="dxa"/>
            <w:tcBorders>
              <w:top w:val="double" w:color="auto" w:sz="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专 业</w:t>
            </w:r>
          </w:p>
        </w:tc>
        <w:tc>
          <w:tcPr>
            <w:tcW w:w="1418" w:type="dxa"/>
            <w:tcBorders>
              <w:top w:val="double" w:color="auto" w:sz="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需求数（人）</w:t>
            </w:r>
          </w:p>
        </w:tc>
        <w:tc>
          <w:tcPr>
            <w:tcW w:w="1984" w:type="dxa"/>
            <w:tcBorders>
              <w:top w:val="double" w:color="auto" w:sz="2"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学历要求</w:t>
            </w:r>
          </w:p>
        </w:tc>
        <w:tc>
          <w:tcPr>
            <w:tcW w:w="1276" w:type="dxa"/>
            <w:tcBorders>
              <w:top w:val="double" w:color="auto" w:sz="2" w:space="0"/>
              <w:left w:val="single" w:color="auto" w:sz="8" w:space="0"/>
              <w:bottom w:val="single" w:color="auto" w:sz="8" w:space="0"/>
              <w:right w:val="double" w:color="auto" w:sz="2"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备注</w:t>
            </w:r>
          </w:p>
        </w:tc>
      </w:tr>
      <w:tr>
        <w:tblPrEx>
          <w:tblLayout w:type="fixed"/>
          <w:tblCellMar>
            <w:top w:w="0" w:type="dxa"/>
            <w:left w:w="0" w:type="dxa"/>
            <w:bottom w:w="0" w:type="dxa"/>
            <w:right w:w="0" w:type="dxa"/>
          </w:tblCellMar>
        </w:tblPrEx>
        <w:trPr>
          <w:trHeight w:val="570"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restart"/>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高端</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人才</w:t>
            </w: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心血管</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内科</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１</w:t>
            </w:r>
          </w:p>
        </w:tc>
        <w:tc>
          <w:tcPr>
            <w:tcW w:w="1984"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(1)高端人才：要求硕士研究生及以上学历和学位。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(2)技术骨干第一类：要求硕士研究生及以上学历和学位。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技术骨干第二类：要求统招本科及以上学历和学位。</w:t>
            </w:r>
          </w:p>
        </w:tc>
        <w:tc>
          <w:tcPr>
            <w:tcW w:w="1276" w:type="dxa"/>
            <w:vMerge w:val="restart"/>
            <w:tcBorders>
              <w:top w:val="single" w:color="auto" w:sz="8" w:space="0"/>
              <w:left w:val="single" w:color="auto" w:sz="8" w:space="0"/>
              <w:bottom w:val="single" w:color="auto" w:sz="8" w:space="0"/>
              <w:right w:val="double" w:color="auto" w:sz="2"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 </w:t>
            </w:r>
          </w:p>
        </w:tc>
      </w:tr>
      <w:tr>
        <w:tblPrEx>
          <w:tblLayout w:type="fixed"/>
          <w:tblCellMar>
            <w:top w:w="0" w:type="dxa"/>
            <w:left w:w="0" w:type="dxa"/>
            <w:bottom w:w="0" w:type="dxa"/>
            <w:right w:w="0" w:type="dxa"/>
          </w:tblCellMar>
        </w:tblPrEx>
        <w:trPr>
          <w:trHeight w:val="600"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continue"/>
            <w:tcBorders>
              <w:top w:val="single" w:color="auto" w:sz="8" w:space="0"/>
              <w:left w:val="single" w:color="auto" w:sz="8" w:space="0"/>
              <w:bottom w:val="nil"/>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皮肤科</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１</w:t>
            </w:r>
          </w:p>
        </w:tc>
        <w:tc>
          <w:tcPr>
            <w:tcW w:w="19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276" w:type="dxa"/>
            <w:vMerge w:val="continue"/>
            <w:tcBorders>
              <w:top w:val="single" w:color="auto" w:sz="8" w:space="0"/>
              <w:left w:val="single" w:color="auto" w:sz="8" w:space="0"/>
              <w:bottom w:val="single" w:color="auto" w:sz="8" w:space="0"/>
              <w:right w:val="double" w:color="auto"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r>
      <w:tr>
        <w:tblPrEx>
          <w:tblLayout w:type="fixed"/>
          <w:tblCellMar>
            <w:top w:w="0" w:type="dxa"/>
            <w:left w:w="0" w:type="dxa"/>
            <w:bottom w:w="0" w:type="dxa"/>
            <w:right w:w="0" w:type="dxa"/>
          </w:tblCellMar>
        </w:tblPrEx>
        <w:trPr>
          <w:trHeight w:val="475"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continue"/>
            <w:tcBorders>
              <w:top w:val="single" w:color="auto" w:sz="8" w:space="0"/>
              <w:left w:val="single" w:color="auto" w:sz="8" w:space="0"/>
              <w:bottom w:val="nil"/>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普通外科</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１</w:t>
            </w:r>
          </w:p>
        </w:tc>
        <w:tc>
          <w:tcPr>
            <w:tcW w:w="19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276" w:type="dxa"/>
            <w:vMerge w:val="continue"/>
            <w:tcBorders>
              <w:top w:val="single" w:color="auto" w:sz="8" w:space="0"/>
              <w:left w:val="single" w:color="auto" w:sz="8" w:space="0"/>
              <w:bottom w:val="single" w:color="auto" w:sz="8" w:space="0"/>
              <w:right w:val="double" w:color="auto"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r>
      <w:tr>
        <w:tblPrEx>
          <w:tblLayout w:type="fixed"/>
          <w:tblCellMar>
            <w:top w:w="0" w:type="dxa"/>
            <w:left w:w="0" w:type="dxa"/>
            <w:bottom w:w="0" w:type="dxa"/>
            <w:right w:w="0" w:type="dxa"/>
          </w:tblCellMar>
        </w:tblPrEx>
        <w:trPr>
          <w:trHeight w:val="545"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restart"/>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技术</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骨干</w:t>
            </w: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内分泌</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１</w:t>
            </w:r>
          </w:p>
        </w:tc>
        <w:tc>
          <w:tcPr>
            <w:tcW w:w="19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276" w:type="dxa"/>
            <w:vMerge w:val="continue"/>
            <w:tcBorders>
              <w:top w:val="single" w:color="auto" w:sz="8" w:space="0"/>
              <w:left w:val="single" w:color="auto" w:sz="8" w:space="0"/>
              <w:bottom w:val="single" w:color="auto" w:sz="8" w:space="0"/>
              <w:right w:val="double" w:color="auto"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r>
      <w:tr>
        <w:tblPrEx>
          <w:tblLayout w:type="fixed"/>
          <w:tblCellMar>
            <w:top w:w="0" w:type="dxa"/>
            <w:left w:w="0" w:type="dxa"/>
            <w:bottom w:w="0" w:type="dxa"/>
            <w:right w:w="0" w:type="dxa"/>
          </w:tblCellMar>
        </w:tblPrEx>
        <w:trPr>
          <w:trHeight w:val="545"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continue"/>
            <w:tcBorders>
              <w:top w:val="single" w:color="auto" w:sz="8" w:space="0"/>
              <w:left w:val="single" w:color="auto" w:sz="8" w:space="0"/>
              <w:bottom w:val="nil"/>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医学检验</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１</w:t>
            </w:r>
          </w:p>
        </w:tc>
        <w:tc>
          <w:tcPr>
            <w:tcW w:w="19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276" w:type="dxa"/>
            <w:vMerge w:val="continue"/>
            <w:tcBorders>
              <w:top w:val="single" w:color="auto" w:sz="8" w:space="0"/>
              <w:left w:val="single" w:color="auto" w:sz="8" w:space="0"/>
              <w:bottom w:val="single" w:color="auto" w:sz="8" w:space="0"/>
              <w:right w:val="double" w:color="auto"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r>
      <w:tr>
        <w:tblPrEx>
          <w:tblLayout w:type="fixed"/>
          <w:tblCellMar>
            <w:top w:w="0" w:type="dxa"/>
            <w:left w:w="0" w:type="dxa"/>
            <w:bottom w:w="0" w:type="dxa"/>
            <w:right w:w="0" w:type="dxa"/>
          </w:tblCellMar>
        </w:tblPrEx>
        <w:trPr>
          <w:trHeight w:val="590"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continue"/>
            <w:tcBorders>
              <w:top w:val="single" w:color="auto" w:sz="8" w:space="0"/>
              <w:left w:val="single" w:color="auto" w:sz="8" w:space="0"/>
              <w:bottom w:val="nil"/>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神经内科</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１</w:t>
            </w:r>
          </w:p>
        </w:tc>
        <w:tc>
          <w:tcPr>
            <w:tcW w:w="19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276" w:type="dxa"/>
            <w:vMerge w:val="continue"/>
            <w:tcBorders>
              <w:top w:val="single" w:color="auto" w:sz="8" w:space="0"/>
              <w:left w:val="single" w:color="auto" w:sz="8" w:space="0"/>
              <w:bottom w:val="single" w:color="auto" w:sz="8" w:space="0"/>
              <w:right w:val="double" w:color="auto"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r>
      <w:tr>
        <w:tblPrEx>
          <w:tblLayout w:type="fixed"/>
          <w:tblCellMar>
            <w:top w:w="0" w:type="dxa"/>
            <w:left w:w="0" w:type="dxa"/>
            <w:bottom w:w="0" w:type="dxa"/>
            <w:right w:w="0" w:type="dxa"/>
          </w:tblCellMar>
        </w:tblPrEx>
        <w:trPr>
          <w:trHeight w:val="625"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continue"/>
            <w:tcBorders>
              <w:top w:val="single" w:color="auto" w:sz="8" w:space="0"/>
              <w:left w:val="single" w:color="auto" w:sz="8" w:space="0"/>
              <w:bottom w:val="nil"/>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影像诊断</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１</w:t>
            </w:r>
          </w:p>
        </w:tc>
        <w:tc>
          <w:tcPr>
            <w:tcW w:w="19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276" w:type="dxa"/>
            <w:vMerge w:val="continue"/>
            <w:tcBorders>
              <w:top w:val="single" w:color="auto" w:sz="8" w:space="0"/>
              <w:left w:val="single" w:color="auto" w:sz="8" w:space="0"/>
              <w:bottom w:val="single" w:color="auto" w:sz="8" w:space="0"/>
              <w:right w:val="double" w:color="auto"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r>
      <w:tr>
        <w:tblPrEx>
          <w:tblLayout w:type="fixed"/>
          <w:tblCellMar>
            <w:top w:w="0" w:type="dxa"/>
            <w:left w:w="0" w:type="dxa"/>
            <w:bottom w:w="0" w:type="dxa"/>
            <w:right w:w="0" w:type="dxa"/>
          </w:tblCellMar>
        </w:tblPrEx>
        <w:trPr>
          <w:trHeight w:val="590"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continue"/>
            <w:tcBorders>
              <w:top w:val="single" w:color="auto" w:sz="8" w:space="0"/>
              <w:left w:val="single" w:color="auto" w:sz="8" w:space="0"/>
              <w:bottom w:val="nil"/>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701" w:type="dxa"/>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血液病</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 </w:t>
            </w:r>
          </w:p>
        </w:tc>
        <w:tc>
          <w:tcPr>
            <w:tcW w:w="1418" w:type="dxa"/>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１</w:t>
            </w:r>
          </w:p>
        </w:tc>
        <w:tc>
          <w:tcPr>
            <w:tcW w:w="19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276" w:type="dxa"/>
            <w:vMerge w:val="continue"/>
            <w:tcBorders>
              <w:top w:val="single" w:color="auto" w:sz="8" w:space="0"/>
              <w:left w:val="single" w:color="auto" w:sz="8" w:space="0"/>
              <w:bottom w:val="single" w:color="auto" w:sz="8" w:space="0"/>
              <w:right w:val="double" w:color="auto"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r>
      <w:tr>
        <w:tblPrEx>
          <w:tblLayout w:type="fixed"/>
          <w:tblCellMar>
            <w:top w:w="0" w:type="dxa"/>
            <w:left w:w="0" w:type="dxa"/>
            <w:bottom w:w="0" w:type="dxa"/>
            <w:right w:w="0" w:type="dxa"/>
          </w:tblCellMar>
        </w:tblPrEx>
        <w:trPr>
          <w:trHeight w:val="635"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continue"/>
            <w:tcBorders>
              <w:top w:val="single" w:color="auto" w:sz="8" w:space="0"/>
              <w:left w:val="single" w:color="auto" w:sz="8" w:space="0"/>
              <w:bottom w:val="nil"/>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骨外科</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1</w:t>
            </w:r>
          </w:p>
        </w:tc>
        <w:tc>
          <w:tcPr>
            <w:tcW w:w="19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276" w:type="dxa"/>
            <w:vMerge w:val="continue"/>
            <w:tcBorders>
              <w:top w:val="single" w:color="auto" w:sz="8" w:space="0"/>
              <w:left w:val="single" w:color="auto" w:sz="8" w:space="0"/>
              <w:bottom w:val="single" w:color="auto" w:sz="8" w:space="0"/>
              <w:right w:val="double" w:color="auto"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r>
      <w:tr>
        <w:tblPrEx>
          <w:tblLayout w:type="fixed"/>
          <w:tblCellMar>
            <w:top w:w="0" w:type="dxa"/>
            <w:left w:w="0" w:type="dxa"/>
            <w:bottom w:w="0" w:type="dxa"/>
            <w:right w:w="0" w:type="dxa"/>
          </w:tblCellMar>
        </w:tblPrEx>
        <w:trPr>
          <w:trHeight w:val="540"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continue"/>
            <w:tcBorders>
              <w:top w:val="single" w:color="auto" w:sz="8" w:space="0"/>
              <w:left w:val="single" w:color="auto" w:sz="8" w:space="0"/>
              <w:bottom w:val="nil"/>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胸心外科</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1</w:t>
            </w:r>
          </w:p>
        </w:tc>
        <w:tc>
          <w:tcPr>
            <w:tcW w:w="19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276" w:type="dxa"/>
            <w:vMerge w:val="continue"/>
            <w:tcBorders>
              <w:top w:val="single" w:color="auto" w:sz="8" w:space="0"/>
              <w:left w:val="single" w:color="auto" w:sz="8" w:space="0"/>
              <w:bottom w:val="single" w:color="auto" w:sz="8" w:space="0"/>
              <w:right w:val="double" w:color="auto"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r>
      <w:tr>
        <w:tblPrEx>
          <w:tblLayout w:type="fixed"/>
          <w:tblCellMar>
            <w:top w:w="0" w:type="dxa"/>
            <w:left w:w="0" w:type="dxa"/>
            <w:bottom w:w="0" w:type="dxa"/>
            <w:right w:w="0" w:type="dxa"/>
          </w:tblCellMar>
        </w:tblPrEx>
        <w:trPr>
          <w:trHeight w:val="614"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continue"/>
            <w:tcBorders>
              <w:top w:val="single" w:color="auto" w:sz="8" w:space="0"/>
              <w:left w:val="single" w:color="auto" w:sz="8" w:space="0"/>
              <w:bottom w:val="nil"/>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眼科</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1</w:t>
            </w:r>
          </w:p>
        </w:tc>
        <w:tc>
          <w:tcPr>
            <w:tcW w:w="19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276" w:type="dxa"/>
            <w:vMerge w:val="continue"/>
            <w:tcBorders>
              <w:top w:val="single" w:color="auto" w:sz="8" w:space="0"/>
              <w:left w:val="single" w:color="auto" w:sz="8" w:space="0"/>
              <w:bottom w:val="single" w:color="auto" w:sz="8" w:space="0"/>
              <w:right w:val="double" w:color="auto"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r>
      <w:tr>
        <w:tblPrEx>
          <w:tblLayout w:type="fixed"/>
          <w:tblCellMar>
            <w:top w:w="0" w:type="dxa"/>
            <w:left w:w="0" w:type="dxa"/>
            <w:bottom w:w="0" w:type="dxa"/>
            <w:right w:w="0" w:type="dxa"/>
          </w:tblCellMar>
        </w:tblPrEx>
        <w:trPr>
          <w:trHeight w:val="1798" w:hRule="atLeast"/>
        </w:trPr>
        <w:tc>
          <w:tcPr>
            <w:tcW w:w="817" w:type="dxa"/>
            <w:vMerge w:val="continue"/>
            <w:tcBorders>
              <w:top w:val="double" w:color="auto" w:sz="2" w:space="0"/>
              <w:left w:val="double" w:color="auto" w:sz="2"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134" w:type="dxa"/>
            <w:vMerge w:val="continue"/>
            <w:tcBorders>
              <w:top w:val="single" w:color="auto" w:sz="8" w:space="0"/>
              <w:left w:val="single" w:color="auto" w:sz="8" w:space="0"/>
              <w:bottom w:val="nil"/>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701" w:type="dxa"/>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泌尿外科</w:t>
            </w:r>
          </w:p>
        </w:tc>
        <w:tc>
          <w:tcPr>
            <w:tcW w:w="1418" w:type="dxa"/>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1</w:t>
            </w:r>
          </w:p>
        </w:tc>
        <w:tc>
          <w:tcPr>
            <w:tcW w:w="198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c>
          <w:tcPr>
            <w:tcW w:w="1276" w:type="dxa"/>
            <w:vMerge w:val="continue"/>
            <w:tcBorders>
              <w:top w:val="single" w:color="auto" w:sz="8" w:space="0"/>
              <w:left w:val="single" w:color="auto" w:sz="8" w:space="0"/>
              <w:bottom w:val="single" w:color="auto" w:sz="8" w:space="0"/>
              <w:right w:val="double" w:color="auto"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outlineLvl w:val="9"/>
              <w:rPr>
                <w:rFonts w:hint="eastAsia" w:ascii="仿宋_GB2312" w:hAnsi="仿宋_GB2312" w:eastAsia="仿宋_GB2312" w:cs="仿宋_GB2312"/>
                <w:kern w:val="0"/>
                <w:sz w:val="32"/>
                <w:szCs w:val="32"/>
              </w:rPr>
            </w:pPr>
          </w:p>
        </w:tc>
      </w:tr>
      <w:tr>
        <w:tblPrEx>
          <w:tblLayout w:type="fixed"/>
          <w:tblCellMar>
            <w:top w:w="0" w:type="dxa"/>
            <w:left w:w="0" w:type="dxa"/>
            <w:bottom w:w="0" w:type="dxa"/>
            <w:right w:w="0" w:type="dxa"/>
          </w:tblCellMar>
        </w:tblPrEx>
        <w:trPr>
          <w:trHeight w:val="753" w:hRule="atLeast"/>
        </w:trPr>
        <w:tc>
          <w:tcPr>
            <w:tcW w:w="817" w:type="dxa"/>
            <w:tcBorders>
              <w:top w:val="single" w:color="auto" w:sz="8" w:space="0"/>
              <w:left w:val="double" w:color="auto" w:sz="2"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合计</w:t>
            </w:r>
          </w:p>
        </w:tc>
        <w:tc>
          <w:tcPr>
            <w:tcW w:w="11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 </w:t>
            </w:r>
          </w:p>
        </w:tc>
        <w:tc>
          <w:tcPr>
            <w:tcW w:w="170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 </w:t>
            </w:r>
          </w:p>
        </w:tc>
        <w:tc>
          <w:tcPr>
            <w:tcW w:w="14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baseline"/>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12人</w:t>
            </w:r>
          </w:p>
        </w:tc>
        <w:tc>
          <w:tcPr>
            <w:tcW w:w="19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 </w:t>
            </w:r>
          </w:p>
        </w:tc>
        <w:tc>
          <w:tcPr>
            <w:tcW w:w="1276" w:type="dxa"/>
            <w:tcBorders>
              <w:top w:val="single" w:color="auto" w:sz="8" w:space="0"/>
              <w:left w:val="single" w:color="auto" w:sz="8" w:space="0"/>
              <w:bottom w:val="single" w:color="auto" w:sz="8" w:space="0"/>
              <w:right w:val="double" w:color="auto" w:sz="2"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 </w:t>
            </w:r>
          </w:p>
        </w:tc>
      </w:tr>
    </w:tbl>
    <w:p>
      <w:pPr>
        <w:widowControl/>
        <w:shd w:val="clear" w:color="auto" w:fill="FFFFFF"/>
        <w:spacing w:line="220" w:lineRule="atLeast"/>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333333"/>
          <w:kern w:val="0"/>
          <w:sz w:val="32"/>
          <w:szCs w:val="32"/>
        </w:rPr>
        <w:t> </w:t>
      </w:r>
      <w:r>
        <w:rPr>
          <w:rFonts w:hint="eastAsia" w:ascii="仿宋_GB2312" w:hAnsi="仿宋_GB2312" w:eastAsia="仿宋_GB2312" w:cs="仿宋_GB2312"/>
          <w:color w:val="333333"/>
          <w:kern w:val="0"/>
          <w:sz w:val="32"/>
          <w:szCs w:val="32"/>
          <w:lang w:eastAsia="zh-CN"/>
        </w:rPr>
        <w:t>　</w:t>
      </w:r>
      <w:r>
        <w:rPr>
          <w:rFonts w:hint="eastAsia" w:ascii="仿宋_GB2312" w:hAnsi="仿宋_GB2312" w:eastAsia="仿宋_GB2312" w:cs="仿宋_GB2312"/>
          <w:color w:val="000000"/>
          <w:kern w:val="0"/>
          <w:sz w:val="32"/>
          <w:szCs w:val="32"/>
        </w:rPr>
        <w:t>注：需求人数根据岗位和专业可以相互调整</w:t>
      </w:r>
      <w:r>
        <w:rPr>
          <w:rFonts w:hint="eastAsia" w:ascii="仿宋_GB2312" w:hAnsi="仿宋_GB2312" w:eastAsia="仿宋_GB2312" w:cs="仿宋_GB2312"/>
          <w:color w:val="000000"/>
          <w:kern w:val="0"/>
          <w:sz w:val="32"/>
          <w:szCs w:val="32"/>
          <w:lang w:val="en-US" w:eastAsia="zh-CN"/>
        </w:rPr>
        <w:t>。</w:t>
      </w:r>
    </w:p>
    <w:p>
      <w:pPr>
        <w:widowControl/>
        <w:shd w:val="clear" w:color="auto" w:fill="FFFFFF"/>
        <w:rPr>
          <w:rFonts w:ascii="Calibri" w:hAnsi="Calibri" w:eastAsia="宋体" w:cs="Calibri"/>
          <w:color w:val="000000"/>
          <w:kern w:val="0"/>
          <w:szCs w:val="21"/>
        </w:rPr>
      </w:pPr>
      <w:r>
        <w:rPr>
          <w:rFonts w:hint="eastAsia" w:ascii="宋体" w:hAnsi="宋体" w:eastAsia="宋体" w:cs="宋体"/>
          <w:color w:val="000000"/>
          <w:kern w:val="0"/>
          <w:szCs w:val="21"/>
        </w:rPr>
        <w:t> </w:t>
      </w:r>
    </w:p>
    <w:p>
      <w:pPr>
        <w:widowControl/>
        <w:shd w:val="clear" w:color="auto" w:fill="FFFFFF"/>
        <w:rPr>
          <w:rFonts w:ascii="Calibri" w:hAnsi="Calibri" w:eastAsia="宋体" w:cs="Calibri"/>
          <w:color w:val="000000"/>
          <w:kern w:val="0"/>
          <w:szCs w:val="21"/>
        </w:rPr>
      </w:pPr>
      <w:r>
        <w:rPr>
          <w:rFonts w:ascii="Calibri" w:hAnsi="Calibri" w:eastAsia="宋体" w:cs="Calibri"/>
          <w:color w:val="000000"/>
          <w:kern w:val="0"/>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26"/>
    <w:rsid w:val="00082B26"/>
    <w:rsid w:val="00321A2D"/>
    <w:rsid w:val="00564EE6"/>
    <w:rsid w:val="00781DDB"/>
    <w:rsid w:val="008E434A"/>
    <w:rsid w:val="00915B55"/>
    <w:rsid w:val="00C878FC"/>
    <w:rsid w:val="00DF0A67"/>
    <w:rsid w:val="04CD2844"/>
    <w:rsid w:val="082637D9"/>
    <w:rsid w:val="1B124063"/>
    <w:rsid w:val="1F157330"/>
    <w:rsid w:val="24F7299D"/>
    <w:rsid w:val="26B84A43"/>
    <w:rsid w:val="27FA4F15"/>
    <w:rsid w:val="2CDE12C1"/>
    <w:rsid w:val="30650DC4"/>
    <w:rsid w:val="3E7D27BA"/>
    <w:rsid w:val="446047EF"/>
    <w:rsid w:val="488C69BD"/>
    <w:rsid w:val="4E5C59D0"/>
    <w:rsid w:val="518D2006"/>
    <w:rsid w:val="5742783A"/>
    <w:rsid w:val="613358BD"/>
    <w:rsid w:val="6DDD5889"/>
    <w:rsid w:val="74952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character" w:styleId="4">
    <w:name w:val="Hyperlink"/>
    <w:basedOn w:val="3"/>
    <w:unhideWhenUsed/>
    <w:qFormat/>
    <w:uiPriority w:val="99"/>
    <w:rPr>
      <w:color w:val="0000FF"/>
      <w:u w:val="single"/>
    </w:rPr>
  </w:style>
  <w:style w:type="paragraph" w:customStyle="1" w:styleId="6">
    <w:name w:val="style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50EDC-FCC5-4ABB-BB4A-BFBB8D988B9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349</Words>
  <Characters>1995</Characters>
  <Lines>16</Lines>
  <Paragraphs>4</Paragraphs>
  <ScaleCrop>false</ScaleCrop>
  <LinksUpToDate>false</LinksUpToDate>
  <CharactersWithSpaces>2340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2018-05-15T07:31:00Z</dcterms:created>
  <dc:creator>USER</dc:creator>
  <cp:lastModifiedBy>邱靖民</cp:lastModifiedBy>
  <cp:lastPrinted>2018-05-16T03:40:00Z</cp:lastPrinted>
  <dcterms:modified xsi:type="dcterms:W3CDTF">2018-05-18T07:54:29Z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