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双鸭山市教育和体育局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1" w:line="6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本年度报告按照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新修订的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《中华人民共和国政府信息公开条例》要求，由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双鸭山市教育和体育局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办公室综合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市教育和体育局及所辖相关单位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的政府信息公开工作情况，在全面总结全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年政府信息公开工作、统计汇总政府信息公开主要数据指标基础上编制而成。本年度报告包括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总体情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主动公开政府信息情况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收到和处理政府信息公开申请情况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政府信息公开行政复议、行政诉讼情况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存在</w:t>
      </w:r>
      <w:r>
        <w:rPr>
          <w:rFonts w:hint="eastAsia" w:ascii="仿宋_GB2312" w:hAnsi="仿宋_GB2312" w:eastAsia="仿宋_GB2312" w:cs="仿宋_GB2312"/>
          <w:sz w:val="32"/>
          <w:szCs w:val="32"/>
        </w:rPr>
        <w:t>的主要问题及改进情况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、其他需要报告情况和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政府信息公开相关数据统计表等。本年度报告所列数据统计期限自20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TW" w:eastAsia="zh-TW"/>
        </w:rPr>
        <w:t>（一）主动公开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TW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年，我局进一步加大主动公开信息力度，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切实推进决策、执行、管理、服务、结果五公开，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拓展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公开途径，丰富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公开内容，确保信息公开规范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全面、及时、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准确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通过省教育厅网站、双鸭山市政府网站、双鸭山市教育公众号、双鸭山日报、双鸭山市电视台等多方媒体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全社会公开教育体育等相关工作信息共计800余条；直属各级各类学校通过文字、图片、影音及新媒体媒介，面向社会公众、学生及学生家长等群体推送校园活动及教育、教学等活动近1500多条。全面推进了教体系统信息公开，推进了教育体育事业全面健康有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TW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TW" w:eastAsia="zh-TW"/>
        </w:rPr>
        <w:t>二）依申请公开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TW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年度，尚未收到办理政府信息公开的申请信息。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TW" w:eastAsia="zh-TW"/>
        </w:rPr>
        <w:t>（三）政府信息管理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TW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进一步加强信息公开发布管理及监督，提升信息公开质量。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TW" w:eastAsia="zh-TW"/>
        </w:rPr>
        <w:t>一是健全工作机制。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组建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市教体局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政府信息公开工作领导小组，形成一把手亲自抓，分管领导具体抓，职能科室抓落实的工作机制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重点做好应主动公开信息的梳理，进一步明确信息公开工作的职责权限，明确任务，落实责任。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TW" w:eastAsia="zh-TW"/>
        </w:rPr>
        <w:t>二是规范工作程序。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严格采集、审核、发布程序，做好信息公开前的保密审查工作，做好原创性信息的编制和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，保证所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公开发布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信息内容合法、完整、准确。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TW" w:eastAsia="zh-TW"/>
        </w:rPr>
        <w:t>三是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聚焦社会热点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针对校园疫情防控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落实“双减”工作、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推进普通高中改革、中小学生和教师“减负”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新学期阳光分班、体育赛事活动重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信息都进行了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主动公开。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建立信息发布实时监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管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机制，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坚决杜绝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出现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政治错误、内容差错、技术故障。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TW" w:eastAsia="zh-TW"/>
        </w:rPr>
        <w:t>四是加强交流互动。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通过市长信箱、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问政平台、</w:t>
      </w:r>
      <w:r>
        <w:rPr>
          <w:rFonts w:hint="eastAsia" w:ascii="仿宋_GB2312" w:hAnsi="仿宋_GB2312" w:eastAsia="仿宋_GB2312" w:cs="仿宋_GB2312"/>
          <w:sz w:val="32"/>
          <w:szCs w:val="32"/>
        </w:rPr>
        <w:t>党风政风热线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等政民互动栏目，定期对网民意见建议进行分析汇总，积极回应社会关切。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政府信息公开平台建设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TW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双鸭山市政府网站开设教体局专栏，定期更新工作动态，对我局的机构设置及职责、政策法规、教育新闻等内容及时准确向社会发布，借助网站平台，有效推动了我局政府信息公开工作的顺利开展。除涉密信息外，最大限度地主动公开各类教育信息。严格把关“两微”新媒体平台建设和管理，建立信息发布审查制度，细化审批流程，落实专人运维管理。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做到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信息发布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公开化、规范化，满足公众的知情权，接受群众监督，推动建设人民满意的教育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TW" w:eastAsia="zh-TW"/>
        </w:rPr>
        <w:t>（五）监督保障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TW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本年度报告内容可以通过“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双鸭山市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人民政府”网站-政府信息公开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年度报告栏目中查阅下载或直接与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双鸭山市教育和体育局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。联系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地址：双鸭山市尖山区民生路市第一中学B区，邮编：155100，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电话：0469-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6165515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jyjbangongshi@163.com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，联系人：彭广军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8" w:lineRule="atLeast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5"/>
        <w:tblW w:w="9073" w:type="dxa"/>
        <w:jc w:val="center"/>
        <w:tblInd w:w="0" w:type="dxa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4"/>
        <w:gridCol w:w="2265"/>
        <w:gridCol w:w="2265"/>
        <w:gridCol w:w="2279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90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第二十条第（一）项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2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信息内容</w:t>
            </w: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本年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制发件数</w:t>
            </w: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本年废止件数</w:t>
            </w:r>
          </w:p>
        </w:tc>
        <w:tc>
          <w:tcPr>
            <w:tcW w:w="22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现行有效件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数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2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规章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2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行政规范性文件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9073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第二十条第（五）项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2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信息内容</w:t>
            </w:r>
          </w:p>
        </w:tc>
        <w:tc>
          <w:tcPr>
            <w:tcW w:w="68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2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行政许可</w:t>
            </w:r>
          </w:p>
        </w:tc>
        <w:tc>
          <w:tcPr>
            <w:tcW w:w="68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9073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第二十条第（六）项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2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信息内容</w:t>
            </w:r>
          </w:p>
        </w:tc>
        <w:tc>
          <w:tcPr>
            <w:tcW w:w="680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2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行政处罚</w:t>
            </w:r>
          </w:p>
        </w:tc>
        <w:tc>
          <w:tcPr>
            <w:tcW w:w="68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2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行政强制</w:t>
            </w:r>
          </w:p>
        </w:tc>
        <w:tc>
          <w:tcPr>
            <w:tcW w:w="68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9073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第二十条第（八）项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2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信息内容</w:t>
            </w:r>
          </w:p>
        </w:tc>
        <w:tc>
          <w:tcPr>
            <w:tcW w:w="6809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本年收费金额（单位：万元）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2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行政事业性收费</w:t>
            </w:r>
          </w:p>
        </w:tc>
        <w:tc>
          <w:tcPr>
            <w:tcW w:w="6809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lang w:val="en-US" w:eastAsia="zh-CN"/>
              </w:rPr>
              <w:t>81.487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8" w:lineRule="atLeast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三、收到和处理政府信息公开申请情况 </w:t>
      </w:r>
    </w:p>
    <w:tbl>
      <w:tblPr>
        <w:tblStyle w:val="5"/>
        <w:tblpPr w:leftFromText="180" w:rightFromText="180" w:vertAnchor="text" w:horzAnchor="page" w:tblpX="1566" w:tblpY="174"/>
        <w:tblOverlap w:val="never"/>
        <w:tblW w:w="90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96"/>
        <w:gridCol w:w="816"/>
        <w:gridCol w:w="757"/>
        <w:gridCol w:w="757"/>
        <w:gridCol w:w="816"/>
        <w:gridCol w:w="977"/>
        <w:gridCol w:w="713"/>
        <w:gridCol w:w="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6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0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6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6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 w:val="33"/>
                <w:szCs w:val="33"/>
                <w:lang w:val="en-US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 w:val="33"/>
                <w:szCs w:val="33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 w:val="33"/>
                <w:szCs w:val="33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 w:val="33"/>
                <w:szCs w:val="33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 w:val="33"/>
                <w:szCs w:val="33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 w:val="33"/>
                <w:szCs w:val="33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 w:val="33"/>
                <w:szCs w:val="33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 w:val="33"/>
                <w:szCs w:val="33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 w:val="33"/>
                <w:szCs w:val="33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 w:val="33"/>
                <w:szCs w:val="33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 w:val="33"/>
                <w:szCs w:val="33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 w:val="33"/>
                <w:szCs w:val="33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 w:val="33"/>
                <w:szCs w:val="33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 w:val="33"/>
                <w:szCs w:val="33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 w:val="33"/>
                <w:szCs w:val="33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 w:val="33"/>
                <w:szCs w:val="33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3"/>
                <w:szCs w:val="33"/>
                <w:lang w:val="en-US" w:eastAsia="zh-CN" w:bidi="ar"/>
              </w:rPr>
              <w:t> </w:t>
            </w:r>
            <w:r>
              <w:rPr>
                <w:rFonts w:hint="eastAsia" w:cstheme="minorBidi"/>
                <w:color w:val="000000"/>
                <w:kern w:val="0"/>
                <w:sz w:val="33"/>
                <w:szCs w:val="33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8" w:lineRule="atLeast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5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color w:val="000000"/>
                <w:sz w:val="33"/>
                <w:szCs w:val="33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 w:val="33"/>
                <w:szCs w:val="33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 w:val="33"/>
                <w:szCs w:val="33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 w:val="33"/>
                <w:szCs w:val="33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 w:val="33"/>
                <w:szCs w:val="33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/>
                <w:sz w:val="33"/>
                <w:szCs w:val="33"/>
              </w:rPr>
            </w:pPr>
            <w:r>
              <w:rPr>
                <w:rFonts w:hint="eastAsia" w:cstheme="minorBidi"/>
                <w:color w:val="000000"/>
                <w:kern w:val="0"/>
                <w:sz w:val="33"/>
                <w:szCs w:val="33"/>
                <w:lang w:val="en-US" w:eastAsia="zh-CN" w:bidi="ar"/>
              </w:rPr>
              <w:t>0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3"/>
                <w:szCs w:val="33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市教体局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政务公开工作虽然取得了一定的成效，但对照人民群众的期望尚存在一定的差距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主要体现在主动公开内容提供不及时，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内容还不够全面，</w:t>
      </w:r>
      <w:r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个别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科</w:t>
      </w:r>
      <w:r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室对群众咨询答复不够及时。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按照工作要求，将主要做好以下几方面工作：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是进一步强化组织领导。明确职责分工，完善工作机制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。二是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健全制度规范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及时做好政策更新和宣传，做到主动公开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内容及时准确。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三是进一步拓宽信息公开途径。通过网络、微信、微博等多种方式加大教育惠民政策宣传力度，进一步细化信息公开工作流程，拓宽公开渠道，确保操作简便明了，利于查找。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Style w:val="8"/>
          <w:rFonts w:hint="eastAsia" w:ascii="仿宋_GB2312" w:hAnsi="宋体" w:eastAsia="仿宋_GB2312" w:cs="仿宋_GB2312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提升信息公开质量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加大对民生热点、重大政策部署的发布和解读力度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，使信息公开业务更加有序、便民、高效，确保广大人民群众的知情权、参与权、表达权和监督。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8" w:lineRule="atLeast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其他需要报告的事项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无其他需要报告的事项。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8" w:lineRule="atLeast"/>
        <w:ind w:left="420" w:leftChars="0" w:right="0" w:rightChars="0"/>
        <w:jc w:val="both"/>
        <w:rPr>
          <w:rFonts w:hint="eastAsia" w:ascii="黑体" w:hAnsi="黑体" w:eastAsia="黑体" w:cs="黑体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16598"/>
    <w:rsid w:val="009224FE"/>
    <w:rsid w:val="03935A51"/>
    <w:rsid w:val="0C2534B0"/>
    <w:rsid w:val="0F0C4576"/>
    <w:rsid w:val="14E76536"/>
    <w:rsid w:val="152E36A3"/>
    <w:rsid w:val="164C6D54"/>
    <w:rsid w:val="1B315F32"/>
    <w:rsid w:val="22C417C8"/>
    <w:rsid w:val="250E6224"/>
    <w:rsid w:val="27332A95"/>
    <w:rsid w:val="2AF25D73"/>
    <w:rsid w:val="2C476252"/>
    <w:rsid w:val="2DBE40C5"/>
    <w:rsid w:val="2F5B4734"/>
    <w:rsid w:val="33753A2B"/>
    <w:rsid w:val="360E14A9"/>
    <w:rsid w:val="36381E80"/>
    <w:rsid w:val="384945E2"/>
    <w:rsid w:val="3FB16598"/>
    <w:rsid w:val="41722392"/>
    <w:rsid w:val="445F60BA"/>
    <w:rsid w:val="44A54B61"/>
    <w:rsid w:val="54B04380"/>
    <w:rsid w:val="576B2606"/>
    <w:rsid w:val="581B03AC"/>
    <w:rsid w:val="5EB900CF"/>
    <w:rsid w:val="60EF7EA1"/>
    <w:rsid w:val="61134BA1"/>
    <w:rsid w:val="615406CB"/>
    <w:rsid w:val="62C00ACE"/>
    <w:rsid w:val="62DB267A"/>
    <w:rsid w:val="638E70B0"/>
    <w:rsid w:val="66C73BA5"/>
    <w:rsid w:val="66D333E8"/>
    <w:rsid w:val="687119D2"/>
    <w:rsid w:val="68AE7A0C"/>
    <w:rsid w:val="6A4068E2"/>
    <w:rsid w:val="703B3D6F"/>
    <w:rsid w:val="70785ECB"/>
    <w:rsid w:val="71951785"/>
    <w:rsid w:val="72DC2E10"/>
    <w:rsid w:val="75B41FD8"/>
    <w:rsid w:val="75BF62B8"/>
    <w:rsid w:val="79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rFonts w:ascii="Tahoma" w:hAnsi="Tahoma"/>
      <w:sz w:val="24"/>
      <w:szCs w:val="20"/>
    </w:rPr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 Char Char Char Char"/>
    <w:basedOn w:val="1"/>
    <w:link w:val="6"/>
    <w:qFormat/>
    <w:uiPriority w:val="0"/>
    <w:rPr>
      <w:rFonts w:ascii="Tahoma" w:hAnsi="Tahoma"/>
      <w:sz w:val="24"/>
      <w:szCs w:val="20"/>
    </w:rPr>
  </w:style>
  <w:style w:type="character" w:styleId="8">
    <w:name w:val="Strong"/>
    <w:basedOn w:val="6"/>
    <w:qFormat/>
    <w:uiPriority w:val="0"/>
    <w:rPr>
      <w:b/>
    </w:rPr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2019-12-10T05:56:00Z</dcterms:created>
  <dc:creator>Administrator</dc:creator>
  <cp:lastModifiedBy>Administrator</cp:lastModifiedBy>
  <cp:lastPrinted>2022-01-20T08:01:00Z</cp:lastPrinted>
  <dcterms:modified xsi:type="dcterms:W3CDTF">2022-01-25T08:08:33Z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  <property fmtid="{D5CDD505-2E9C-101B-9397-08002B2CF9AE}" pid="3" name="ICV">
    <vt:lpwstr>3447E6726833421C929E23AC1ED9D8AC</vt:lpwstr>
  </property>
</Properties>
</file>