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</w:rPr>
      </w:pPr>
      <w:r>
        <w:rPr>
          <w:rFonts w:hint="eastAsia"/>
        </w:rPr>
        <w:t>宝山区东保卫街道办事处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年政府信息公开工作年度报告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664" w:firstLineChars="200"/>
        <w:rPr>
          <w:rFonts w:hint="eastAsia" w:ascii="仿宋" w:hAnsi="仿宋" w:eastAsia="仿宋" w:cs="仿宋"/>
          <w:spacing w:val="11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按照国务院办公厅政府信息与政务公开办公室关于印发《中华人民共和国政府信息公开工作年度报告格式》的通知(国办公开办函〔2021〕30号)等相关文件精神，为切实做好202</w:t>
      </w:r>
      <w:r>
        <w:rPr>
          <w:rFonts w:hint="eastAsia" w:ascii="仿宋" w:hAnsi="仿宋" w:eastAsia="仿宋" w:cs="仿宋"/>
          <w:spacing w:val="11"/>
          <w:sz w:val="31"/>
          <w:szCs w:val="31"/>
          <w:lang w:val="en-US" w:eastAsia="zh-CN"/>
        </w:rPr>
        <w:t>3</w:t>
      </w:r>
      <w:r>
        <w:rPr>
          <w:rFonts w:ascii="仿宋" w:hAnsi="仿宋" w:eastAsia="仿宋" w:cs="仿宋"/>
          <w:spacing w:val="11"/>
          <w:sz w:val="31"/>
          <w:szCs w:val="31"/>
        </w:rPr>
        <w:t>年政府信息公开工作，宝山区人民政府办公室统计数据编制本年度报告。</w:t>
      </w:r>
      <w:r>
        <w:rPr>
          <w:rFonts w:hint="eastAsia" w:ascii="仿宋" w:hAnsi="仿宋" w:eastAsia="仿宋" w:cs="仿宋"/>
          <w:spacing w:val="11"/>
          <w:sz w:val="31"/>
          <w:szCs w:val="31"/>
        </w:rPr>
        <w:t>本年度报告包括总体情况、政府信息公开工作主要做法</w:t>
      </w:r>
      <w:r>
        <w:rPr>
          <w:rFonts w:hint="eastAsia" w:ascii="仿宋" w:hAnsi="仿宋" w:eastAsia="仿宋" w:cs="仿宋"/>
          <w:spacing w:val="11"/>
          <w:sz w:val="31"/>
          <w:szCs w:val="31"/>
          <w:lang w:eastAsia="zh-CN"/>
        </w:rPr>
        <w:t>，</w:t>
      </w:r>
      <w:r>
        <w:rPr>
          <w:rFonts w:hint="eastAsia" w:ascii="仿宋" w:hAnsi="仿宋" w:eastAsia="仿宋" w:cs="仿宋"/>
          <w:spacing w:val="11"/>
          <w:sz w:val="31"/>
          <w:szCs w:val="31"/>
        </w:rPr>
        <w:t>主动公开政府信息情况，政府信息依申请公开办理情况，政府信息公开的收费及减免情况，因政府信 息公开申请行政复议、提起行政诉讼的情况，政府信息公开工作存在的问题及改进措施，并附需要说明的事项和指标统计附表等。本年度报告中所列数据的统计期限自 202</w:t>
      </w:r>
      <w:r>
        <w:rPr>
          <w:rFonts w:hint="eastAsia" w:ascii="仿宋" w:hAnsi="仿宋" w:eastAsia="仿宋" w:cs="仿宋"/>
          <w:spacing w:val="11"/>
          <w:sz w:val="31"/>
          <w:szCs w:val="31"/>
          <w:lang w:val="en-US" w:eastAsia="zh-CN"/>
        </w:rPr>
        <w:t>3</w:t>
      </w:r>
      <w:r>
        <w:rPr>
          <w:rFonts w:hint="eastAsia" w:ascii="仿宋" w:hAnsi="仿宋" w:eastAsia="仿宋" w:cs="仿宋"/>
          <w:spacing w:val="11"/>
          <w:sz w:val="31"/>
          <w:szCs w:val="31"/>
        </w:rPr>
        <w:t>年1月1日起至202</w:t>
      </w:r>
      <w:r>
        <w:rPr>
          <w:rFonts w:hint="eastAsia" w:ascii="仿宋" w:hAnsi="仿宋" w:eastAsia="仿宋" w:cs="仿宋"/>
          <w:spacing w:val="11"/>
          <w:sz w:val="31"/>
          <w:szCs w:val="31"/>
          <w:lang w:val="en-US" w:eastAsia="zh-CN"/>
        </w:rPr>
        <w:t>3</w:t>
      </w:r>
      <w:r>
        <w:rPr>
          <w:rFonts w:hint="eastAsia" w:ascii="仿宋" w:hAnsi="仿宋" w:eastAsia="仿宋" w:cs="仿宋"/>
          <w:spacing w:val="11"/>
          <w:sz w:val="31"/>
          <w:szCs w:val="31"/>
        </w:rPr>
        <w:t>年12月31日止。如对本年度报告有任何疑问，请联系</w:t>
      </w:r>
      <w:r>
        <w:rPr>
          <w:rFonts w:hint="eastAsia" w:ascii="仿宋" w:hAnsi="仿宋" w:eastAsia="仿宋" w:cs="仿宋"/>
          <w:spacing w:val="11"/>
          <w:sz w:val="31"/>
          <w:szCs w:val="31"/>
          <w:lang w:eastAsia="zh-CN"/>
        </w:rPr>
        <w:t>东保卫</w:t>
      </w:r>
      <w:r>
        <w:rPr>
          <w:rFonts w:hint="eastAsia" w:ascii="仿宋" w:hAnsi="仿宋" w:eastAsia="仿宋" w:cs="仿宋"/>
          <w:spacing w:val="11"/>
          <w:sz w:val="31"/>
          <w:szCs w:val="31"/>
        </w:rPr>
        <w:t>街道办事处（地址：宝山区</w:t>
      </w:r>
      <w:r>
        <w:rPr>
          <w:rFonts w:hint="eastAsia" w:ascii="仿宋" w:hAnsi="仿宋" w:eastAsia="仿宋" w:cs="仿宋"/>
          <w:spacing w:val="11"/>
          <w:sz w:val="31"/>
          <w:szCs w:val="31"/>
          <w:lang w:eastAsia="zh-CN"/>
        </w:rPr>
        <w:t>东保卫街道团结大街中段</w:t>
      </w:r>
      <w:r>
        <w:rPr>
          <w:rFonts w:hint="eastAsia" w:ascii="仿宋" w:hAnsi="仿宋" w:eastAsia="仿宋" w:cs="仿宋"/>
          <w:spacing w:val="11"/>
          <w:sz w:val="31"/>
          <w:szCs w:val="31"/>
        </w:rPr>
        <w:t xml:space="preserve">，电话 </w:t>
      </w:r>
      <w:r>
        <w:rPr>
          <w:rFonts w:hint="eastAsia" w:ascii="仿宋" w:hAnsi="仿宋" w:eastAsia="仿宋" w:cs="仿宋"/>
          <w:spacing w:val="11"/>
          <w:sz w:val="31"/>
          <w:szCs w:val="31"/>
          <w:lang w:eastAsia="zh-CN"/>
        </w:rPr>
        <w:t>：</w:t>
      </w:r>
      <w:r>
        <w:rPr>
          <w:rFonts w:hint="eastAsia" w:ascii="仿宋" w:hAnsi="仿宋" w:eastAsia="仿宋" w:cs="仿宋"/>
          <w:spacing w:val="11"/>
          <w:sz w:val="31"/>
          <w:szCs w:val="31"/>
        </w:rPr>
        <w:t>0469-</w:t>
      </w:r>
      <w:r>
        <w:rPr>
          <w:rFonts w:hint="eastAsia" w:ascii="仿宋" w:hAnsi="仿宋" w:eastAsia="仿宋" w:cs="仿宋"/>
          <w:spacing w:val="11"/>
          <w:sz w:val="31"/>
          <w:szCs w:val="31"/>
          <w:lang w:val="en-US" w:eastAsia="zh-CN"/>
        </w:rPr>
        <w:t>4035719,</w:t>
      </w:r>
      <w:r>
        <w:rPr>
          <w:rFonts w:hint="eastAsia" w:ascii="仿宋" w:hAnsi="仿宋" w:eastAsia="仿宋" w:cs="仿宋"/>
          <w:spacing w:val="11"/>
          <w:sz w:val="31"/>
          <w:szCs w:val="31"/>
        </w:rPr>
        <w:t>电子邮箱 ：</w:t>
      </w:r>
      <w:r>
        <w:rPr>
          <w:rFonts w:hint="eastAsia" w:ascii="仿宋" w:hAnsi="仿宋" w:eastAsia="仿宋" w:cs="仿宋"/>
          <w:spacing w:val="11"/>
          <w:sz w:val="31"/>
          <w:szCs w:val="31"/>
          <w:lang w:val="en-US" w:eastAsia="zh-CN"/>
        </w:rPr>
        <w:t>15046466077@sina.</w:t>
      </w:r>
      <w:r>
        <w:rPr>
          <w:rFonts w:hint="eastAsia" w:ascii="仿宋" w:hAnsi="仿宋" w:eastAsia="仿宋" w:cs="仿宋"/>
          <w:spacing w:val="11"/>
          <w:sz w:val="31"/>
          <w:szCs w:val="31"/>
        </w:rPr>
        <w:t>c</w:t>
      </w:r>
      <w:r>
        <w:rPr>
          <w:rFonts w:hint="eastAsia" w:ascii="仿宋" w:hAnsi="仿宋" w:eastAsia="仿宋" w:cs="仿宋"/>
          <w:spacing w:val="11"/>
          <w:sz w:val="31"/>
          <w:szCs w:val="31"/>
          <w:lang w:val="en-US" w:eastAsia="zh-CN"/>
        </w:rPr>
        <w:t>n</w:t>
      </w:r>
      <w:r>
        <w:rPr>
          <w:rFonts w:hint="eastAsia" w:ascii="仿宋" w:hAnsi="仿宋" w:eastAsia="仿宋" w:cs="仿宋"/>
          <w:spacing w:val="11"/>
          <w:sz w:val="31"/>
          <w:szCs w:val="31"/>
        </w:rPr>
        <w:t>）。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643" w:firstLineChars="20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一、总体情况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664" w:firstLineChars="200"/>
        <w:rPr>
          <w:rFonts w:hint="eastAsia" w:ascii="仿宋" w:hAnsi="仿宋" w:eastAsia="仿宋" w:cs="仿宋"/>
          <w:spacing w:val="11"/>
          <w:sz w:val="31"/>
          <w:szCs w:val="31"/>
        </w:rPr>
      </w:pPr>
      <w:r>
        <w:rPr>
          <w:rFonts w:hint="eastAsia" w:ascii="仿宋" w:hAnsi="仿宋" w:eastAsia="仿宋" w:cs="仿宋"/>
          <w:spacing w:val="11"/>
          <w:sz w:val="31"/>
          <w:szCs w:val="31"/>
        </w:rPr>
        <w:t>202</w:t>
      </w:r>
      <w:r>
        <w:rPr>
          <w:rFonts w:hint="eastAsia" w:ascii="仿宋" w:hAnsi="仿宋" w:eastAsia="仿宋" w:cs="仿宋"/>
          <w:spacing w:val="11"/>
          <w:sz w:val="31"/>
          <w:szCs w:val="31"/>
          <w:lang w:val="en-US" w:eastAsia="zh-CN"/>
        </w:rPr>
        <w:t>3</w:t>
      </w:r>
      <w:r>
        <w:rPr>
          <w:rFonts w:hint="eastAsia" w:ascii="仿宋" w:hAnsi="仿宋" w:eastAsia="仿宋" w:cs="仿宋"/>
          <w:spacing w:val="11"/>
          <w:sz w:val="31"/>
          <w:szCs w:val="31"/>
        </w:rPr>
        <w:t>年，</w:t>
      </w:r>
      <w:r>
        <w:rPr>
          <w:rFonts w:hint="eastAsia" w:ascii="仿宋" w:hAnsi="仿宋" w:eastAsia="仿宋" w:cs="仿宋"/>
          <w:spacing w:val="11"/>
          <w:sz w:val="31"/>
          <w:szCs w:val="31"/>
          <w:lang w:eastAsia="zh-CN"/>
        </w:rPr>
        <w:t>东保卫</w:t>
      </w:r>
      <w:r>
        <w:rPr>
          <w:rFonts w:hint="eastAsia" w:ascii="仿宋" w:hAnsi="仿宋" w:eastAsia="仿宋" w:cs="仿宋"/>
          <w:spacing w:val="11"/>
          <w:sz w:val="31"/>
          <w:szCs w:val="31"/>
        </w:rPr>
        <w:t>街道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区委、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区政府的坚强领导下，严格按照《条例》精神，结合街道实际情况，</w:t>
      </w:r>
      <w:r>
        <w:rPr>
          <w:rFonts w:hint="eastAsia" w:ascii="仿宋" w:hAnsi="仿宋" w:eastAsia="仿宋" w:cs="仿宋"/>
          <w:spacing w:val="11"/>
          <w:sz w:val="31"/>
          <w:szCs w:val="31"/>
        </w:rPr>
        <w:t>不断完善政务公开制度，畅通群众民主沟通渠道，增强单位干部服务群众意识，极大地提高了办事处工作的透明度。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664" w:firstLineChars="200"/>
        <w:rPr>
          <w:rFonts w:hint="eastAsia" w:ascii="仿宋" w:hAnsi="仿宋" w:eastAsia="仿宋" w:cs="仿宋"/>
          <w:spacing w:val="11"/>
          <w:sz w:val="31"/>
          <w:szCs w:val="31"/>
        </w:rPr>
      </w:pPr>
      <w:r>
        <w:rPr>
          <w:rFonts w:hint="eastAsia" w:ascii="仿宋" w:hAnsi="仿宋" w:eastAsia="仿宋" w:cs="仿宋"/>
          <w:spacing w:val="11"/>
          <w:sz w:val="31"/>
          <w:szCs w:val="31"/>
          <w:lang w:eastAsia="zh-CN"/>
        </w:rPr>
        <w:t>（一）</w:t>
      </w:r>
      <w:r>
        <w:rPr>
          <w:rFonts w:hint="eastAsia" w:ascii="仿宋" w:hAnsi="仿宋" w:eastAsia="仿宋" w:cs="仿宋"/>
          <w:spacing w:val="11"/>
          <w:sz w:val="31"/>
          <w:szCs w:val="31"/>
        </w:rPr>
        <w:t>加强领导，从严从实做好平台建设。街道高度重视政务公开工作，进一步完善工作机制，明确工作目标，落实信息发布、政策解读和政务舆情回应主体责任。</w:t>
      </w:r>
      <w:r>
        <w:rPr>
          <w:rFonts w:hint="eastAsia" w:ascii="仿宋" w:hAnsi="仿宋" w:eastAsia="仿宋" w:cs="仿宋"/>
          <w:spacing w:val="11"/>
          <w:sz w:val="31"/>
          <w:szCs w:val="31"/>
          <w:lang w:val="en-US" w:eastAsia="zh-CN"/>
        </w:rPr>
        <w:t>2023年度东保卫街道通过宝山区观点宝山公众号及媒体平台，共计发布18条公开信息，</w:t>
      </w:r>
      <w:r>
        <w:rPr>
          <w:rFonts w:hint="eastAsia" w:ascii="仿宋" w:hAnsi="仿宋" w:eastAsia="仿宋" w:cs="仿宋"/>
          <w:spacing w:val="11"/>
          <w:sz w:val="31"/>
          <w:szCs w:val="31"/>
        </w:rPr>
        <w:t>根据上级关于推进政务公开的工作部署，</w:t>
      </w:r>
      <w:r>
        <w:rPr>
          <w:rFonts w:hint="eastAsia" w:ascii="仿宋" w:hAnsi="仿宋" w:eastAsia="仿宋" w:cs="仿宋"/>
          <w:spacing w:val="11"/>
          <w:sz w:val="31"/>
          <w:szCs w:val="31"/>
          <w:lang w:eastAsia="zh-CN"/>
        </w:rPr>
        <w:t>东保卫</w:t>
      </w:r>
      <w:r>
        <w:rPr>
          <w:rFonts w:hint="eastAsia" w:ascii="仿宋" w:hAnsi="仿宋" w:eastAsia="仿宋" w:cs="仿宋"/>
          <w:spacing w:val="11"/>
          <w:sz w:val="31"/>
          <w:szCs w:val="31"/>
        </w:rPr>
        <w:t>街道办事处明确</w:t>
      </w:r>
      <w:r>
        <w:rPr>
          <w:rFonts w:hint="eastAsia" w:ascii="仿宋" w:hAnsi="仿宋" w:eastAsia="仿宋" w:cs="仿宋"/>
          <w:spacing w:val="11"/>
          <w:sz w:val="31"/>
          <w:szCs w:val="31"/>
          <w:lang w:val="en-US" w:eastAsia="zh-CN"/>
        </w:rPr>
        <w:t>1</w:t>
      </w:r>
      <w:r>
        <w:rPr>
          <w:rFonts w:hint="eastAsia" w:ascii="仿宋" w:hAnsi="仿宋" w:eastAsia="仿宋" w:cs="仿宋"/>
          <w:spacing w:val="11"/>
          <w:sz w:val="31"/>
          <w:szCs w:val="31"/>
        </w:rPr>
        <w:t>名工作人员负责政务公开工作，日常工作机构设在综合办公室，负责具体信息收集上报工作，积极推动政府信息公开工作。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664" w:firstLineChars="200"/>
        <w:rPr>
          <w:rFonts w:hint="eastAsia" w:ascii="仿宋" w:hAnsi="仿宋" w:eastAsia="仿宋" w:cs="仿宋"/>
          <w:spacing w:val="11"/>
          <w:sz w:val="31"/>
          <w:szCs w:val="31"/>
        </w:rPr>
      </w:pPr>
      <w:r>
        <w:rPr>
          <w:rFonts w:hint="eastAsia" w:ascii="仿宋" w:hAnsi="仿宋" w:eastAsia="仿宋" w:cs="仿宋"/>
          <w:spacing w:val="11"/>
          <w:sz w:val="31"/>
          <w:szCs w:val="31"/>
          <w:lang w:eastAsia="zh-CN"/>
        </w:rPr>
        <w:t>（二）</w:t>
      </w:r>
      <w:r>
        <w:rPr>
          <w:rFonts w:hint="eastAsia" w:ascii="仿宋" w:hAnsi="仿宋" w:eastAsia="仿宋" w:cs="仿宋"/>
          <w:spacing w:val="11"/>
          <w:sz w:val="31"/>
          <w:szCs w:val="31"/>
        </w:rPr>
        <w:t>完善制度，加强规范信息内容发布。结合</w:t>
      </w:r>
      <w:r>
        <w:rPr>
          <w:rFonts w:hint="eastAsia" w:ascii="仿宋" w:hAnsi="仿宋" w:eastAsia="仿宋" w:cs="仿宋"/>
          <w:spacing w:val="11"/>
          <w:sz w:val="31"/>
          <w:szCs w:val="31"/>
          <w:lang w:eastAsia="zh-CN"/>
        </w:rPr>
        <w:t>东保卫</w:t>
      </w:r>
      <w:r>
        <w:rPr>
          <w:rFonts w:hint="eastAsia" w:ascii="仿宋" w:hAnsi="仿宋" w:eastAsia="仿宋" w:cs="仿宋"/>
          <w:spacing w:val="11"/>
          <w:sz w:val="31"/>
          <w:szCs w:val="31"/>
        </w:rPr>
        <w:t>街道实际，制定明确的信息发布政策和流程</w:t>
      </w:r>
      <w:r>
        <w:rPr>
          <w:rFonts w:hint="eastAsia" w:ascii="仿宋" w:hAnsi="仿宋" w:eastAsia="仿宋" w:cs="仿宋"/>
          <w:spacing w:val="11"/>
          <w:sz w:val="31"/>
          <w:szCs w:val="31"/>
          <w:lang w:eastAsia="zh-CN"/>
        </w:rPr>
        <w:t>，</w:t>
      </w:r>
      <w:r>
        <w:rPr>
          <w:rFonts w:hint="eastAsia" w:ascii="仿宋" w:hAnsi="仿宋" w:eastAsia="仿宋" w:cs="仿宋"/>
          <w:spacing w:val="11"/>
          <w:sz w:val="31"/>
          <w:szCs w:val="31"/>
        </w:rPr>
        <w:t>明确规定信息发布的责任部门、审核程序、发布渠道等，确保信息发布的准确性和及时性。建立信息审核机制</w:t>
      </w:r>
      <w:r>
        <w:rPr>
          <w:rFonts w:hint="eastAsia" w:ascii="仿宋" w:hAnsi="仿宋" w:eastAsia="仿宋" w:cs="仿宋"/>
          <w:spacing w:val="11"/>
          <w:sz w:val="31"/>
          <w:szCs w:val="31"/>
          <w:lang w:eastAsia="zh-CN"/>
        </w:rPr>
        <w:t>，</w:t>
      </w:r>
      <w:r>
        <w:rPr>
          <w:rFonts w:hint="eastAsia" w:ascii="仿宋" w:hAnsi="仿宋" w:eastAsia="仿宋" w:cs="仿宋"/>
          <w:spacing w:val="11"/>
          <w:sz w:val="31"/>
          <w:szCs w:val="31"/>
        </w:rPr>
        <w:t>设立专门的信息审核</w:t>
      </w:r>
      <w:r>
        <w:rPr>
          <w:rFonts w:hint="eastAsia" w:ascii="仿宋" w:hAnsi="仿宋" w:eastAsia="仿宋" w:cs="仿宋"/>
          <w:spacing w:val="11"/>
          <w:sz w:val="31"/>
          <w:szCs w:val="31"/>
          <w:lang w:eastAsia="zh-CN"/>
        </w:rPr>
        <w:t>人员</w:t>
      </w:r>
      <w:r>
        <w:rPr>
          <w:rFonts w:hint="eastAsia" w:ascii="仿宋" w:hAnsi="仿宋" w:eastAsia="仿宋" w:cs="仿宋"/>
          <w:spacing w:val="11"/>
          <w:sz w:val="31"/>
          <w:szCs w:val="31"/>
        </w:rPr>
        <w:t>，对拟发布的信息进行审核，确保信息的真实性、客观性和合法性。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664" w:firstLineChars="200"/>
        <w:rPr>
          <w:rFonts w:hint="eastAsia" w:ascii="仿宋" w:hAnsi="仿宋" w:eastAsia="仿宋" w:cs="仿宋"/>
          <w:spacing w:val="11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11"/>
          <w:sz w:val="31"/>
          <w:szCs w:val="31"/>
          <w:lang w:eastAsia="zh-CN"/>
        </w:rPr>
        <w:t>（三）</w:t>
      </w:r>
      <w:r>
        <w:rPr>
          <w:rFonts w:hint="eastAsia" w:ascii="仿宋" w:hAnsi="仿宋" w:eastAsia="仿宋" w:cs="仿宋"/>
          <w:spacing w:val="11"/>
          <w:sz w:val="31"/>
          <w:szCs w:val="31"/>
        </w:rPr>
        <w:t>强化监督，确保提高信息公开实效。加强对信息公开工作的监督指导，督促检查信息公开工作，确保此项工作依法有序进行。同时，我街道将政府信息公开纳入日常工作目标管理，对公开信息的数量、内容、审查程序、时效性等进行专项自查，整改发现的问题，压实责任，不断提高政府信息公开工作的质量和水平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643" w:firstLineChars="200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6"/>
        <w:tblW w:w="8300" w:type="dxa"/>
        <w:jc w:val="center"/>
        <w:tblCellSpacing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71"/>
        <w:gridCol w:w="2071"/>
        <w:gridCol w:w="2071"/>
        <w:gridCol w:w="208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29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第二十条第（一）项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信息内容</w:t>
            </w:r>
          </w:p>
        </w:tc>
        <w:tc>
          <w:tcPr>
            <w:tcW w:w="2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制发件数</w:t>
            </w:r>
          </w:p>
        </w:tc>
        <w:tc>
          <w:tcPr>
            <w:tcW w:w="2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本年废止件数</w:t>
            </w:r>
          </w:p>
        </w:tc>
        <w:tc>
          <w:tcPr>
            <w:tcW w:w="2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规章</w:t>
            </w:r>
          </w:p>
        </w:tc>
        <w:tc>
          <w:tcPr>
            <w:tcW w:w="2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2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2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行政规范性文件</w:t>
            </w:r>
          </w:p>
        </w:tc>
        <w:tc>
          <w:tcPr>
            <w:tcW w:w="2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2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2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29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第二十条第（五）项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信息内容</w:t>
            </w:r>
          </w:p>
        </w:tc>
        <w:tc>
          <w:tcPr>
            <w:tcW w:w="62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本年处理决定数量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行政许可</w:t>
            </w:r>
          </w:p>
        </w:tc>
        <w:tc>
          <w:tcPr>
            <w:tcW w:w="62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29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第二十条第（六）项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信息内容</w:t>
            </w:r>
          </w:p>
        </w:tc>
        <w:tc>
          <w:tcPr>
            <w:tcW w:w="62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本年处理决定数量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行政处罚</w:t>
            </w:r>
          </w:p>
        </w:tc>
        <w:tc>
          <w:tcPr>
            <w:tcW w:w="62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行政强制</w:t>
            </w:r>
          </w:p>
        </w:tc>
        <w:tc>
          <w:tcPr>
            <w:tcW w:w="62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29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第二十条第（八）项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信息内容</w:t>
            </w:r>
          </w:p>
        </w:tc>
        <w:tc>
          <w:tcPr>
            <w:tcW w:w="62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本年收费金额（单位：万元）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行政事业性收费</w:t>
            </w:r>
          </w:p>
        </w:tc>
        <w:tc>
          <w:tcPr>
            <w:tcW w:w="62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643" w:firstLineChars="200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6"/>
        <w:tblW w:w="8460" w:type="dxa"/>
        <w:jc w:val="center"/>
        <w:tblCellSpacing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90"/>
        <w:gridCol w:w="1500"/>
        <w:gridCol w:w="710"/>
        <w:gridCol w:w="710"/>
        <w:gridCol w:w="710"/>
        <w:gridCol w:w="710"/>
        <w:gridCol w:w="710"/>
        <w:gridCol w:w="710"/>
        <w:gridCol w:w="71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45" w:type="dxa"/>
            <w:gridSpan w:val="3"/>
            <w:vMerge w:val="restar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rPr>
                <w:sz w:val="24"/>
                <w:szCs w:val="24"/>
              </w:rPr>
            </w:pPr>
            <w:r>
              <w:rPr>
                <w:rFonts w:ascii="楷体" w:hAnsi="楷体" w:eastAsia="楷体" w:cs="楷体"/>
                <w:color w:val="333333"/>
                <w:sz w:val="19"/>
                <w:szCs w:val="19"/>
              </w:rPr>
              <w:t>（本列数据的勾稽关系为：第一项加第二项之和，等于第三项加第四项之和）</w:t>
            </w:r>
          </w:p>
        </w:tc>
        <w:tc>
          <w:tcPr>
            <w:tcW w:w="420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45" w:type="dxa"/>
            <w:gridSpan w:val="3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自然人</w:t>
            </w:r>
          </w:p>
        </w:tc>
        <w:tc>
          <w:tcPr>
            <w:tcW w:w="300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法人或其他组织</w:t>
            </w:r>
          </w:p>
        </w:tc>
        <w:tc>
          <w:tcPr>
            <w:tcW w:w="600" w:type="dxa"/>
            <w:vMerge w:val="restar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45" w:type="dxa"/>
            <w:gridSpan w:val="3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商业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企业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科研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机构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社会公益组织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法律服务机构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其他</w:t>
            </w:r>
          </w:p>
        </w:tc>
        <w:tc>
          <w:tcPr>
            <w:tcW w:w="600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一、本年新收政府信息公开申请数量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二、上年结转政府信息公开申请数量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60" w:type="dxa"/>
            <w:vMerge w:val="restar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三、本年度办理结果</w:t>
            </w:r>
          </w:p>
        </w:tc>
        <w:tc>
          <w:tcPr>
            <w:tcW w:w="35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（一）予以公开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60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（二）部分公开</w:t>
            </w:r>
            <w:r>
              <w:rPr>
                <w:rFonts w:hint="eastAsia" w:ascii="楷体" w:hAnsi="楷体" w:eastAsia="楷体" w:cs="楷体"/>
                <w:color w:val="333333"/>
                <w:sz w:val="19"/>
                <w:szCs w:val="19"/>
              </w:rPr>
              <w:t>（区分处理的，只计这一情形，不计其他情形）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60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（三）不予公开</w:t>
            </w:r>
          </w:p>
        </w:tc>
        <w:tc>
          <w:tcPr>
            <w:tcW w:w="2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1.属于国家秘密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60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2.其他法律行政法规禁止公开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60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3.危及“三安全一稳定”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60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4.保护第三方合法权益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60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5.属于三类内部事务信息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60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6.属于四类过程性信息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60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7.属于行政执法案卷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60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8.属于行政查询事项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60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（四）无法提供</w:t>
            </w:r>
          </w:p>
        </w:tc>
        <w:tc>
          <w:tcPr>
            <w:tcW w:w="2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1.本机关不掌握相关政府信息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60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2.没有现成信息需要另行制作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60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3.补正后申请内容仍不明确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60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（五）不予处理</w:t>
            </w:r>
          </w:p>
        </w:tc>
        <w:tc>
          <w:tcPr>
            <w:tcW w:w="2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1.信访举报投诉类申请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60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2.重复申请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60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3.要求提供公开出版物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60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4.无正当理由大量反复申请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60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5.要求行政机关确认或重新出具已获取信息</w:t>
            </w:r>
          </w:p>
        </w:tc>
        <w:tc>
          <w:tcPr>
            <w:tcW w:w="600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60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（六）其他处理</w:t>
            </w:r>
          </w:p>
        </w:tc>
        <w:tc>
          <w:tcPr>
            <w:tcW w:w="2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1.申请人无正当理由逾期不补正、行政机关不再处理其政府信息公开申请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60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2.申请人逾期未按收费通知要求缴纳费用、行政机关不再处理其政府信息公开申请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60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3.其他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60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（七）总计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四、结转下年度继续办理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643" w:firstLineChars="200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四、政府信息公开行政复议、行政诉讼情况</w:t>
      </w:r>
    </w:p>
    <w:tbl>
      <w:tblPr>
        <w:tblStyle w:val="6"/>
        <w:tblW w:w="8740" w:type="dxa"/>
        <w:jc w:val="center"/>
        <w:tblCellSpacing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3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行政复议</w:t>
            </w:r>
          </w:p>
        </w:tc>
        <w:tc>
          <w:tcPr>
            <w:tcW w:w="582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3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结果维持</w:t>
            </w:r>
          </w:p>
        </w:tc>
        <w:tc>
          <w:tcPr>
            <w:tcW w:w="5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结果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纠正</w:t>
            </w:r>
          </w:p>
        </w:tc>
        <w:tc>
          <w:tcPr>
            <w:tcW w:w="5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其他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结果</w:t>
            </w:r>
          </w:p>
        </w:tc>
        <w:tc>
          <w:tcPr>
            <w:tcW w:w="5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尚未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审结</w:t>
            </w:r>
          </w:p>
        </w:tc>
        <w:tc>
          <w:tcPr>
            <w:tcW w:w="5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总计</w:t>
            </w:r>
          </w:p>
        </w:tc>
        <w:tc>
          <w:tcPr>
            <w:tcW w:w="29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3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未经复议直接起诉</w:t>
            </w:r>
          </w:p>
        </w:tc>
        <w:tc>
          <w:tcPr>
            <w:tcW w:w="29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3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结果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维持</w:t>
            </w:r>
          </w:p>
        </w:tc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结果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纠正</w:t>
            </w:r>
          </w:p>
        </w:tc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其他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结果</w:t>
            </w:r>
          </w:p>
        </w:tc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尚未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审结</w:t>
            </w:r>
          </w:p>
        </w:tc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总计</w:t>
            </w:r>
          </w:p>
        </w:tc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结果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维持</w:t>
            </w:r>
          </w:p>
        </w:tc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结果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纠正</w:t>
            </w:r>
          </w:p>
        </w:tc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其他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</w:t>
            </w:r>
          </w:p>
        </w:tc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尚未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审结</w:t>
            </w:r>
          </w:p>
        </w:tc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36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36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36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36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36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36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36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36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36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36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36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36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36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36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36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643" w:firstLineChars="200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五、存在的主要问题及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下年工作打算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664" w:firstLineChars="200"/>
        <w:rPr>
          <w:rFonts w:hint="eastAsia" w:ascii="仿宋" w:hAnsi="仿宋" w:eastAsia="仿宋" w:cs="仿宋"/>
          <w:spacing w:val="11"/>
          <w:sz w:val="31"/>
          <w:szCs w:val="31"/>
        </w:rPr>
      </w:pPr>
      <w:r>
        <w:rPr>
          <w:rFonts w:hint="eastAsia" w:ascii="仿宋" w:hAnsi="仿宋" w:eastAsia="仿宋" w:cs="仿宋"/>
          <w:spacing w:val="11"/>
          <w:sz w:val="31"/>
          <w:szCs w:val="31"/>
        </w:rPr>
        <w:t>今年，我街道政务公开和政务服务工作虽然取得了一定的成绩，但是离上级和群众的要求还存在一定的差距，如信息公开的方式还有待完善；宣传力度不够大，政府机关工作人员和社会公众对信息公开知晓度不够高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664" w:firstLineChars="200"/>
        <w:rPr>
          <w:rFonts w:hint="eastAsia" w:ascii="仿宋" w:hAnsi="仿宋" w:eastAsia="仿宋" w:cs="仿宋"/>
          <w:spacing w:val="11"/>
          <w:sz w:val="31"/>
          <w:szCs w:val="31"/>
        </w:rPr>
      </w:pPr>
      <w:r>
        <w:rPr>
          <w:rFonts w:hint="eastAsia" w:ascii="仿宋" w:hAnsi="仿宋" w:eastAsia="仿宋" w:cs="仿宋"/>
          <w:spacing w:val="11"/>
          <w:sz w:val="31"/>
          <w:szCs w:val="31"/>
        </w:rPr>
        <w:t>因此，在202</w:t>
      </w:r>
      <w:r>
        <w:rPr>
          <w:rFonts w:hint="eastAsia" w:ascii="仿宋" w:hAnsi="仿宋" w:eastAsia="仿宋" w:cs="仿宋"/>
          <w:spacing w:val="11"/>
          <w:sz w:val="31"/>
          <w:szCs w:val="31"/>
          <w:lang w:val="en-US" w:eastAsia="zh-CN"/>
        </w:rPr>
        <w:t>4</w:t>
      </w:r>
      <w:r>
        <w:rPr>
          <w:rFonts w:hint="eastAsia" w:ascii="仿宋" w:hAnsi="仿宋" w:eastAsia="仿宋" w:cs="仿宋"/>
          <w:spacing w:val="11"/>
          <w:sz w:val="31"/>
          <w:szCs w:val="31"/>
        </w:rPr>
        <w:t>年的工作中，要进一步充实信息公开内容，突出重点、热点和难点问题，把群众最关心、反应最强烈的事项作为政府信息公开的主要内容，切实发</w:t>
      </w:r>
      <w:bookmarkStart w:id="0" w:name="_GoBack"/>
      <w:bookmarkEnd w:id="0"/>
      <w:r>
        <w:rPr>
          <w:rFonts w:hint="eastAsia" w:ascii="仿宋" w:hAnsi="仿宋" w:eastAsia="仿宋" w:cs="仿宋"/>
          <w:spacing w:val="11"/>
          <w:sz w:val="31"/>
          <w:szCs w:val="31"/>
        </w:rPr>
        <w:t>挥好信息公开平台的桥梁作用。</w:t>
      </w:r>
      <w:r>
        <w:rPr>
          <w:rFonts w:hint="eastAsia" w:ascii="仿宋" w:hAnsi="仿宋" w:eastAsia="仿宋" w:cs="仿宋"/>
          <w:spacing w:val="11"/>
          <w:sz w:val="31"/>
          <w:szCs w:val="31"/>
          <w:lang w:eastAsia="zh-CN"/>
        </w:rPr>
        <w:t>东保卫全体</w:t>
      </w:r>
      <w:r>
        <w:rPr>
          <w:rFonts w:hint="eastAsia" w:ascii="仿宋" w:hAnsi="仿宋" w:eastAsia="仿宋" w:cs="仿宋"/>
          <w:spacing w:val="11"/>
          <w:sz w:val="31"/>
          <w:szCs w:val="31"/>
        </w:rPr>
        <w:t>工作人员，尤其是具体业务承办人员要加强学习和培训，规范依法办理申请公开政府信息的水平。开展多种形式的宣传活动，创造条件，让更多公众了解政府信息的查询方式和基本内容，充分保障其知情权、参与权和监督权，全力将</w:t>
      </w:r>
      <w:r>
        <w:rPr>
          <w:rFonts w:hint="eastAsia" w:ascii="仿宋" w:hAnsi="仿宋" w:eastAsia="仿宋" w:cs="仿宋"/>
          <w:spacing w:val="11"/>
          <w:sz w:val="31"/>
          <w:szCs w:val="31"/>
          <w:lang w:eastAsia="zh-CN"/>
        </w:rPr>
        <w:t>东保卫</w:t>
      </w:r>
      <w:r>
        <w:rPr>
          <w:rFonts w:hint="eastAsia" w:ascii="仿宋" w:hAnsi="仿宋" w:eastAsia="仿宋" w:cs="仿宋"/>
          <w:spacing w:val="11"/>
          <w:sz w:val="31"/>
          <w:szCs w:val="31"/>
        </w:rPr>
        <w:t>街道政务公开和政务服务工作提高到新水平。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xODFlN2UyNjBhNTI4YjY3NDgyZDVmY2Y2NDkyODMifQ=="/>
  </w:docVars>
  <w:rsids>
    <w:rsidRoot w:val="00000000"/>
    <w:rsid w:val="1BC672DB"/>
    <w:rsid w:val="239D28A8"/>
    <w:rsid w:val="24657C33"/>
    <w:rsid w:val="5F314138"/>
    <w:rsid w:val="7184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2336</Words>
  <Characters>2425</Characters>
  <Lines>0</Lines>
  <Paragraphs>0</Paragraphs>
  <TotalTime>184</TotalTime>
  <ScaleCrop>false</ScaleCrop>
  <LinksUpToDate>false</LinksUpToDate>
  <CharactersWithSpaces>2434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2023-01-20T01:00:00Z</dcterms:created>
  <dc:creator>Administrator</dc:creator>
  <cp:lastModifiedBy>Administrator</cp:lastModifiedBy>
  <dcterms:modified xsi:type="dcterms:W3CDTF">2024-01-17T05:29:16Z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92790A112DD6423DB2CD0545F833C427_13</vt:lpwstr>
  </property>
</Properties>
</file>