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0" w:afterAutospacing="0" w:line="640" w:lineRule="exact"/>
        <w:jc w:val="center"/>
        <w:rPr>
          <w:rFonts w:ascii="方正小标宋_GBK" w:hAnsi="方正小标宋_GBK" w:eastAsia="方正小标宋_GBK" w:cs="方正小标宋_GBK"/>
          <w:b/>
          <w:bCs/>
          <w:color w:val="333333"/>
          <w:sz w:val="44"/>
          <w:szCs w:val="44"/>
          <w:shd w:val="clear" w:color="auto" w:fill="FFFFFF"/>
        </w:rPr>
      </w:pPr>
      <w:bookmarkStart w:id="0" w:name="_GoBack"/>
      <w:r>
        <w:rPr>
          <w:rFonts w:hint="eastAsia" w:ascii="方正小标宋_GBK" w:hAnsi="方正小标宋_GBK" w:eastAsia="方正小标宋_GBK" w:cs="方正小标宋_GBK"/>
          <w:b/>
          <w:bCs/>
          <w:color w:val="333333"/>
          <w:sz w:val="44"/>
          <w:szCs w:val="44"/>
          <w:shd w:val="clear" w:color="auto" w:fill="FFFFFF"/>
        </w:rPr>
        <w:t>尖山区退役军人事务局</w:t>
      </w:r>
    </w:p>
    <w:p>
      <w:pPr>
        <w:pStyle w:val="7"/>
        <w:widowControl/>
        <w:shd w:val="clear" w:color="auto" w:fill="FFFFFF"/>
        <w:spacing w:before="0" w:beforeAutospacing="0" w:after="0" w:afterAutospacing="0" w:line="640" w:lineRule="exact"/>
        <w:jc w:val="center"/>
        <w:rPr>
          <w:rFonts w:hint="eastAsia" w:ascii="方正小标宋_GBK" w:hAnsi="方正小标宋_GBK" w:eastAsia="方正小标宋_GBK" w:cs="方正小标宋_GBK"/>
          <w:b/>
          <w:bCs/>
          <w:color w:val="333333"/>
          <w:sz w:val="44"/>
          <w:szCs w:val="44"/>
          <w:shd w:val="clear" w:color="auto" w:fill="FFFFFF"/>
          <w:lang w:eastAsia="zh-CN"/>
        </w:rPr>
      </w:pPr>
      <w:r>
        <w:rPr>
          <w:rFonts w:hint="eastAsia" w:ascii="方正小标宋_GBK" w:hAnsi="方正小标宋_GBK" w:eastAsia="方正小标宋_GBK" w:cs="方正小标宋_GBK"/>
          <w:b/>
          <w:bCs/>
          <w:color w:val="333333"/>
          <w:sz w:val="44"/>
          <w:szCs w:val="44"/>
          <w:shd w:val="clear" w:color="auto" w:fill="FFFFFF"/>
        </w:rPr>
        <w:t>2021年政府信息公开工作年</w:t>
      </w:r>
      <w:r>
        <w:rPr>
          <w:rFonts w:hint="eastAsia" w:ascii="方正小标宋_GBK" w:hAnsi="方正小标宋_GBK" w:eastAsia="方正小标宋_GBK" w:cs="方正小标宋_GBK"/>
          <w:b/>
          <w:bCs/>
          <w:color w:val="333333"/>
          <w:sz w:val="44"/>
          <w:szCs w:val="44"/>
          <w:shd w:val="clear" w:color="auto" w:fill="FFFFFF"/>
          <w:lang w:eastAsia="zh-CN"/>
        </w:rPr>
        <w:t>度</w:t>
      </w:r>
      <w:r>
        <w:rPr>
          <w:rFonts w:hint="eastAsia" w:ascii="方正小标宋_GBK" w:hAnsi="方正小标宋_GBK" w:eastAsia="方正小标宋_GBK" w:cs="方正小标宋_GBK"/>
          <w:b/>
          <w:bCs/>
          <w:color w:val="333333"/>
          <w:sz w:val="44"/>
          <w:szCs w:val="44"/>
          <w:shd w:val="clear" w:color="auto" w:fill="FFFFFF"/>
        </w:rPr>
        <w:t>报</w:t>
      </w:r>
      <w:r>
        <w:rPr>
          <w:rFonts w:hint="eastAsia" w:ascii="方正小标宋_GBK" w:hAnsi="方正小标宋_GBK" w:eastAsia="方正小标宋_GBK" w:cs="方正小标宋_GBK"/>
          <w:b/>
          <w:bCs/>
          <w:color w:val="333333"/>
          <w:sz w:val="44"/>
          <w:szCs w:val="44"/>
          <w:shd w:val="clear" w:color="auto" w:fill="FFFFFF"/>
          <w:lang w:eastAsia="zh-CN"/>
        </w:rPr>
        <w:t>告</w:t>
      </w:r>
    </w:p>
    <w:p>
      <w:pPr>
        <w:pStyle w:val="7"/>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p>
    <w:p>
      <w:pPr>
        <w:pStyle w:val="7"/>
        <w:widowControl/>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报告根据《中华人民共和国政府信息公开条例》(以下简称《条例》)的相关规定，尖山区人民政府办公室全面总结了2021年政府信息公开工作及相关主要数据。报告所列数据统计期限自2021年1月1日起至2021年12月31日止。</w:t>
      </w:r>
      <w:r>
        <w:rPr>
          <w:rFonts w:hint="eastAsia" w:ascii="仿宋_GB2312" w:hAnsi="仿宋_GB2312" w:eastAsia="仿宋_GB2312" w:cs="仿宋_GB2312"/>
          <w:spacing w:val="28"/>
          <w:sz w:val="32"/>
          <w:szCs w:val="32"/>
        </w:rPr>
        <w:t>本 年 度 报 告 可 在 尖 山 区 政 府 网 政 府 信 息 公 开 平</w:t>
      </w:r>
      <w:r>
        <w:rPr>
          <w:rFonts w:hint="eastAsia" w:ascii="仿宋_GB2312" w:hAnsi="仿宋_GB2312" w:eastAsia="仿宋_GB2312" w:cs="仿宋_GB2312"/>
          <w:spacing w:val="34"/>
          <w:sz w:val="32"/>
          <w:szCs w:val="32"/>
        </w:rPr>
        <w:t xml:space="preserve"> 台 </w:t>
      </w:r>
      <w:r>
        <w:rPr>
          <w:rFonts w:hint="eastAsia" w:ascii="仿宋_GB2312" w:hAnsi="仿宋_GB2312" w:eastAsia="仿宋_GB2312" w:cs="仿宋_GB2312"/>
          <w:sz w:val="32"/>
          <w:szCs w:val="32"/>
        </w:rPr>
        <w:t xml:space="preserve">（http://www.sysjs.gov.cn/）查阅或下载，如有疑问请与尖山区政务公开办公室联系（联系地址：尖山区新兴大街 191 号，邮编：155100，联系电话：0469-4240836，电子邮箱： </w:t>
      </w:r>
      <w:r>
        <w:fldChar w:fldCharType="begin"/>
      </w:r>
      <w:r>
        <w:instrText xml:space="preserve"> HYPERLINK "mailto:jsqzfb@163.com）。" </w:instrText>
      </w:r>
      <w:r>
        <w:fldChar w:fldCharType="separate"/>
      </w:r>
      <w:r>
        <w:rPr>
          <w:rStyle w:val="10"/>
          <w:rFonts w:hint="eastAsia" w:ascii="仿宋_GB2312" w:hAnsi="仿宋_GB2312" w:eastAsia="仿宋_GB2312" w:cs="仿宋_GB2312"/>
          <w:sz w:val="32"/>
          <w:szCs w:val="32"/>
        </w:rPr>
        <w:t>jsqzfb@163.com）。</w:t>
      </w:r>
      <w:r>
        <w:rPr>
          <w:rStyle w:val="10"/>
          <w:rFonts w:hint="eastAsia" w:ascii="仿宋_GB2312" w:hAnsi="仿宋_GB2312" w:eastAsia="仿宋_GB2312" w:cs="仿宋_GB2312"/>
          <w:sz w:val="32"/>
          <w:szCs w:val="32"/>
        </w:rPr>
        <w:fldChar w:fldCharType="end"/>
      </w:r>
    </w:p>
    <w:p>
      <w:pPr>
        <w:widowControl/>
        <w:shd w:val="clear" w:color="auto" w:fill="FFFFFF"/>
        <w:spacing w:line="450" w:lineRule="atLeast"/>
        <w:ind w:firstLine="640"/>
        <w:jc w:val="left"/>
        <w:rPr>
          <w:rFonts w:ascii="微软雅黑" w:hAnsi="微软雅黑" w:eastAsia="微软雅黑" w:cs="微软雅黑"/>
          <w:b/>
          <w:color w:val="333333"/>
          <w:sz w:val="32"/>
          <w:szCs w:val="32"/>
        </w:rPr>
      </w:pPr>
      <w:r>
        <w:rPr>
          <w:rFonts w:hint="eastAsia" w:ascii="黑体" w:hAnsi="黑体" w:eastAsia="黑体" w:cs="黑体"/>
          <w:b/>
          <w:color w:val="333333"/>
          <w:kern w:val="0"/>
          <w:sz w:val="32"/>
          <w:szCs w:val="32"/>
          <w:shd w:val="clear" w:color="auto" w:fill="FFFFFF"/>
        </w:rPr>
        <w:t>一、总体情况</w:t>
      </w:r>
    </w:p>
    <w:p>
      <w:pPr>
        <w:widowControl/>
        <w:shd w:val="clear" w:color="auto" w:fill="FFFFFF"/>
        <w:spacing w:line="600" w:lineRule="atLeast"/>
        <w:ind w:firstLine="640" w:firstLineChars="200"/>
        <w:rPr>
          <w:rFonts w:ascii="仿宋" w:hAnsi="仿宋" w:eastAsia="仿宋" w:cs="仿宋"/>
          <w:color w:val="000000"/>
          <w:kern w:val="0"/>
          <w:sz w:val="32"/>
          <w:szCs w:val="32"/>
          <w:shd w:val="clear" w:color="auto" w:fill="FFFFFF"/>
        </w:rPr>
      </w:pPr>
      <w:r>
        <w:rPr>
          <w:rFonts w:hint="eastAsia" w:ascii="仿宋_GB2312" w:hAnsi="黑体" w:eastAsia="仿宋_GB2312" w:cs="黑体"/>
          <w:color w:val="333333"/>
          <w:sz w:val="32"/>
          <w:szCs w:val="32"/>
          <w:shd w:val="clear" w:color="auto" w:fill="FFFFFF"/>
        </w:rPr>
        <w:t>2021年，</w:t>
      </w:r>
      <w:r>
        <w:rPr>
          <w:rFonts w:hint="eastAsia" w:ascii="仿宋" w:hAnsi="仿宋" w:eastAsia="仿宋" w:cs="仿宋"/>
          <w:color w:val="000000"/>
          <w:kern w:val="0"/>
          <w:sz w:val="32"/>
          <w:szCs w:val="32"/>
          <w:shd w:val="clear" w:color="auto" w:fill="FFFFFF"/>
        </w:rPr>
        <w:t>在区委、区政府坚强领导下，尖山区退役军人事务局严格按照政府信息公开工作有关要求，坚决贯彻落实各级对退役军人工作的具体要求，以“全心全意为退役军人服务”为宗旨，扎实推进政府信息公开工作，现将工作情况总结如下：</w:t>
      </w:r>
    </w:p>
    <w:p>
      <w:pPr>
        <w:pStyle w:val="7"/>
        <w:widowControl/>
        <w:shd w:val="clear" w:color="auto" w:fill="FFFFFF"/>
        <w:spacing w:before="0" w:beforeAutospacing="0" w:after="0" w:afterAutospacing="0" w:line="520" w:lineRule="exact"/>
        <w:ind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（一）严格规程操作，定期规范公开</w:t>
      </w:r>
    </w:p>
    <w:p>
      <w:pPr>
        <w:widowControl/>
        <w:shd w:val="clear" w:color="auto" w:fill="FFFFFF"/>
        <w:spacing w:line="600" w:lineRule="atLeast"/>
        <w:ind w:firstLine="640" w:firstLineChars="200"/>
        <w:rPr>
          <w:rFonts w:ascii="仿宋" w:hAnsi="仿宋" w:eastAsia="仿宋" w:cs="仿宋"/>
          <w:color w:val="000000"/>
          <w:kern w:val="0"/>
          <w:sz w:val="32"/>
          <w:szCs w:val="32"/>
          <w:shd w:val="clear" w:color="auto" w:fill="FFFFFF"/>
        </w:rPr>
      </w:pPr>
      <w:r>
        <w:rPr>
          <w:rFonts w:hint="eastAsia" w:ascii="仿宋_GB2312" w:hAnsi="黑体" w:eastAsia="仿宋_GB2312" w:cs="黑体"/>
          <w:color w:val="333333"/>
          <w:sz w:val="32"/>
          <w:szCs w:val="32"/>
          <w:shd w:val="clear" w:color="auto" w:fill="FFFFFF"/>
        </w:rPr>
        <w:t>2021年，</w:t>
      </w:r>
      <w:r>
        <w:rPr>
          <w:rFonts w:ascii="仿宋" w:hAnsi="仿宋" w:eastAsia="仿宋" w:cs="仿宋"/>
          <w:color w:val="000000"/>
          <w:kern w:val="0"/>
          <w:sz w:val="32"/>
          <w:szCs w:val="32"/>
          <w:shd w:val="clear" w:color="auto" w:fill="FFFFFF"/>
        </w:rPr>
        <w:t>为深入贯彻落实新条例和</w:t>
      </w:r>
      <w:r>
        <w:rPr>
          <w:rFonts w:hint="eastAsia" w:ascii="仿宋" w:hAnsi="仿宋" w:eastAsia="仿宋" w:cs="仿宋"/>
          <w:color w:val="000000"/>
          <w:kern w:val="0"/>
          <w:sz w:val="32"/>
          <w:szCs w:val="32"/>
          <w:shd w:val="clear" w:color="auto" w:fill="FFFFFF"/>
        </w:rPr>
        <w:t>区</w:t>
      </w:r>
      <w:r>
        <w:rPr>
          <w:rFonts w:ascii="仿宋" w:hAnsi="仿宋" w:eastAsia="仿宋" w:cs="仿宋"/>
          <w:color w:val="000000"/>
          <w:kern w:val="0"/>
          <w:sz w:val="32"/>
          <w:szCs w:val="32"/>
          <w:shd w:val="clear" w:color="auto" w:fill="FFFFFF"/>
        </w:rPr>
        <w:t>政府有关规定，紧密结合我</w:t>
      </w:r>
      <w:r>
        <w:rPr>
          <w:rFonts w:hint="eastAsia" w:ascii="仿宋" w:hAnsi="仿宋" w:eastAsia="仿宋" w:cs="仿宋"/>
          <w:color w:val="000000"/>
          <w:kern w:val="0"/>
          <w:sz w:val="32"/>
          <w:szCs w:val="32"/>
          <w:shd w:val="clear" w:color="auto" w:fill="FFFFFF"/>
        </w:rPr>
        <w:t>区</w:t>
      </w:r>
      <w:r>
        <w:rPr>
          <w:rFonts w:ascii="仿宋" w:hAnsi="仿宋" w:eastAsia="仿宋" w:cs="仿宋"/>
          <w:color w:val="000000"/>
          <w:kern w:val="0"/>
          <w:sz w:val="32"/>
          <w:szCs w:val="32"/>
          <w:shd w:val="clear" w:color="auto" w:fill="FFFFFF"/>
        </w:rPr>
        <w:t>退役军人事务工作重点，紧紧围绕习近平总书记关于退役军人工作的重要论述和指示批示精神，扎实推进政府信息公开工作，突出政务公开重点，提高政务公开服务水平，政府信息公开工作的有序推进，有力地保障了退役军人及其他优抚对象的知情权、参与权、表达权和监督权。积极回应解读，</w:t>
      </w:r>
      <w:r>
        <w:rPr>
          <w:rFonts w:hint="eastAsia" w:ascii="仿宋" w:hAnsi="仿宋" w:eastAsia="仿宋" w:cs="仿宋"/>
          <w:color w:val="000000"/>
          <w:kern w:val="0"/>
          <w:sz w:val="32"/>
          <w:szCs w:val="32"/>
          <w:shd w:val="clear" w:color="auto" w:fill="FFFFFF"/>
        </w:rPr>
        <w:t>退役军人</w:t>
      </w:r>
      <w:r>
        <w:rPr>
          <w:rFonts w:ascii="仿宋" w:hAnsi="仿宋" w:eastAsia="仿宋" w:cs="仿宋"/>
          <w:color w:val="000000"/>
          <w:kern w:val="0"/>
          <w:sz w:val="32"/>
          <w:szCs w:val="32"/>
          <w:shd w:val="clear" w:color="auto" w:fill="FFFFFF"/>
        </w:rPr>
        <w:t>关注</w:t>
      </w:r>
      <w:r>
        <w:rPr>
          <w:rFonts w:hint="eastAsia" w:ascii="仿宋" w:hAnsi="仿宋" w:eastAsia="仿宋" w:cs="仿宋"/>
          <w:color w:val="000000"/>
          <w:kern w:val="0"/>
          <w:sz w:val="32"/>
          <w:szCs w:val="32"/>
          <w:shd w:val="clear" w:color="auto" w:fill="FFFFFF"/>
        </w:rPr>
        <w:t>的</w:t>
      </w:r>
      <w:r>
        <w:rPr>
          <w:rFonts w:ascii="仿宋" w:hAnsi="仿宋" w:eastAsia="仿宋" w:cs="仿宋"/>
          <w:color w:val="000000"/>
          <w:kern w:val="0"/>
          <w:sz w:val="32"/>
          <w:szCs w:val="32"/>
          <w:shd w:val="clear" w:color="auto" w:fill="FFFFFF"/>
        </w:rPr>
        <w:t>热点难点，及时回复各种咨询。</w:t>
      </w:r>
    </w:p>
    <w:p>
      <w:pPr>
        <w:pStyle w:val="7"/>
        <w:widowControl/>
        <w:shd w:val="clear" w:color="auto" w:fill="FFFFFF"/>
        <w:spacing w:before="0" w:beforeAutospacing="0" w:after="0" w:afterAutospacing="0" w:line="520" w:lineRule="exact"/>
        <w:ind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 xml:space="preserve"> (二）完善工作制度，明确责任分工</w:t>
      </w:r>
    </w:p>
    <w:p>
      <w:pPr>
        <w:pStyle w:val="7"/>
        <w:widowControl/>
        <w:shd w:val="clear" w:color="auto" w:fill="FFFFFF"/>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 w:hAnsi="仿宋" w:eastAsia="仿宋"/>
          <w:color w:val="3D3D3D"/>
          <w:sz w:val="32"/>
          <w:szCs w:val="32"/>
          <w:shd w:val="clear" w:color="auto" w:fill="FFFFFF"/>
        </w:rPr>
        <w:t>区退役军人事务局高度重视政府信息公开工作，将政府信息公开工作纳入全局工作日程，同业务工作同安排同部署，定期听取相关汇报，及时掌握信息公开情况，由局办公室负责退役军人信息公开工作的推进、协调工作。有专人负责及时办理相关信息的申请事宜。根据本单位实际，持续推进政务公开工作严格有序进行。2021年我局没有收到要求公开信息的申请。</w:t>
      </w:r>
    </w:p>
    <w:p>
      <w:pPr>
        <w:pStyle w:val="7"/>
        <w:widowControl/>
        <w:shd w:val="clear" w:color="auto" w:fill="FFFFFF"/>
        <w:spacing w:before="0" w:beforeAutospacing="0" w:after="0" w:afterAutospacing="0" w:line="520" w:lineRule="exact"/>
        <w:ind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（三）保守工作秘密，提升服务水平</w:t>
      </w:r>
    </w:p>
    <w:p>
      <w:pPr>
        <w:spacing w:line="560" w:lineRule="exact"/>
        <w:ind w:firstLine="640" w:firstLineChars="200"/>
        <w:rPr>
          <w:rFonts w:ascii="仿宋" w:hAnsi="仿宋" w:eastAsia="仿宋"/>
          <w:color w:val="3D3D3D"/>
          <w:sz w:val="32"/>
          <w:szCs w:val="32"/>
          <w:shd w:val="clear" w:color="auto" w:fill="FFFFFF"/>
        </w:rPr>
      </w:pPr>
      <w:r>
        <w:rPr>
          <w:rFonts w:hint="eastAsia" w:ascii="仿宋" w:hAnsi="仿宋" w:eastAsia="仿宋"/>
          <w:color w:val="3D3D3D"/>
          <w:sz w:val="32"/>
          <w:szCs w:val="32"/>
          <w:shd w:val="clear" w:color="auto" w:fill="FFFFFF"/>
        </w:rPr>
        <w:t>按照《政府信息公开条例》要求，进一步加强局政府信息公开制度建设，严格规程操作，充分发挥政府网站公开政府信息的平台作用，适时调整与完善主动公开的信息、依申请公开的事项、申述程序等，严格按照国家有关规定程序，确保涉密信息不公开，公开信息不涉密。公开的信息安全规范可靠。</w:t>
      </w:r>
    </w:p>
    <w:p>
      <w:pPr>
        <w:pStyle w:val="7"/>
        <w:widowControl/>
        <w:shd w:val="clear" w:color="auto" w:fill="FFFFFF"/>
        <w:spacing w:before="0" w:beforeAutospacing="0" w:after="0" w:afterAutospacing="0" w:line="520" w:lineRule="exact"/>
        <w:ind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（四）创新方式方法，公开公示多样</w:t>
      </w:r>
    </w:p>
    <w:p>
      <w:pPr>
        <w:pStyle w:val="7"/>
        <w:widowControl/>
        <w:shd w:val="clear" w:color="auto" w:fill="FFFFFF"/>
        <w:spacing w:before="0" w:beforeAutospacing="0" w:after="0" w:afterAutospacing="0" w:line="560" w:lineRule="exact"/>
        <w:ind w:firstLine="640" w:firstLineChars="200"/>
        <w:jc w:val="both"/>
        <w:rPr>
          <w:rFonts w:ascii="仿宋" w:hAnsi="仿宋" w:eastAsia="仿宋"/>
          <w:color w:val="3D3D3D"/>
          <w:sz w:val="32"/>
          <w:szCs w:val="32"/>
          <w:shd w:val="clear" w:color="auto" w:fill="FFFFFF"/>
        </w:rPr>
      </w:pPr>
      <w:r>
        <w:rPr>
          <w:rFonts w:hint="eastAsia" w:ascii="仿宋" w:hAnsi="仿宋" w:eastAsia="仿宋"/>
          <w:color w:val="3D3D3D"/>
          <w:sz w:val="32"/>
          <w:szCs w:val="32"/>
          <w:shd w:val="clear" w:color="auto" w:fill="FFFFFF"/>
        </w:rPr>
        <w:t>根据上级要求，退役军人事务系统进驻政务大厅，设立了退役军人服务窗口，并对政策咨询和相关业务进行受理。同时，积极按照区政府信息公开工作要求，进一步提高我单位信息发布水平。借助微观尖山，及时更新发布关于退役军人的相关信息和报道，向社会宣传退役军人保障法，提高群众的知晓率，充分依托区政府公开网站，及时发布相关信息，不断创新公开方式。</w:t>
      </w:r>
    </w:p>
    <w:p>
      <w:pPr>
        <w:pStyle w:val="7"/>
        <w:widowControl/>
        <w:shd w:val="clear" w:color="auto" w:fill="FFFFFF"/>
        <w:spacing w:before="0" w:beforeAutospacing="0" w:after="0" w:afterAutospacing="0" w:line="520" w:lineRule="exact"/>
        <w:ind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（五）细化工作措施，做好保障工作</w:t>
      </w:r>
    </w:p>
    <w:p>
      <w:pPr>
        <w:pStyle w:val="7"/>
        <w:widowControl/>
        <w:shd w:val="clear" w:color="auto" w:fill="FFFFFF"/>
        <w:spacing w:before="0" w:beforeAutospacing="0" w:after="0" w:afterAutospacing="0" w:line="560" w:lineRule="exact"/>
        <w:ind w:firstLine="640" w:firstLineChars="200"/>
        <w:jc w:val="both"/>
        <w:rPr>
          <w:rFonts w:ascii="仿宋" w:hAnsi="仿宋" w:eastAsia="仿宋"/>
          <w:color w:val="3D3D3D"/>
          <w:sz w:val="32"/>
          <w:szCs w:val="32"/>
          <w:shd w:val="clear" w:color="auto" w:fill="FFFFFF"/>
        </w:rPr>
      </w:pPr>
      <w:r>
        <w:rPr>
          <w:rFonts w:hint="eastAsia" w:ascii="仿宋" w:hAnsi="仿宋" w:eastAsia="仿宋"/>
          <w:color w:val="3D3D3D"/>
          <w:sz w:val="32"/>
          <w:szCs w:val="32"/>
          <w:shd w:val="clear" w:color="auto" w:fill="FFFFFF"/>
        </w:rPr>
        <w:t>根据政务公开工作要求及时制定更新本单位信息公开工作制度，强化工作部署，推动工作落实，保障政务公开工作稳中求进。坚持“谁主管谁负责，谁公开谁审查，谁承办谁落实”的工作原则，确保公开的信息安全可靠。</w:t>
      </w:r>
    </w:p>
    <w:p>
      <w:pPr>
        <w:pStyle w:val="7"/>
        <w:widowControl/>
        <w:shd w:val="clear" w:color="auto" w:fill="FFFFFF"/>
        <w:spacing w:before="0" w:beforeAutospacing="0" w:after="0" w:afterAutospacing="0" w:line="560" w:lineRule="exact"/>
        <w:ind w:firstLine="640" w:firstLineChars="200"/>
        <w:jc w:val="both"/>
        <w:rPr>
          <w:rFonts w:ascii="宋体" w:hAnsi="宋体" w:eastAsia="宋体" w:cs="宋体"/>
          <w:color w:val="333333"/>
          <w:sz w:val="32"/>
          <w:szCs w:val="32"/>
        </w:rPr>
      </w:pPr>
      <w:r>
        <w:rPr>
          <w:rFonts w:hint="eastAsia" w:ascii="黑体" w:hAnsi="黑体" w:eastAsia="黑体" w:cs="黑体"/>
          <w:color w:val="333333"/>
          <w:sz w:val="32"/>
          <w:szCs w:val="32"/>
          <w:shd w:val="clear" w:color="auto" w:fill="FFFFFF"/>
        </w:rPr>
        <w:t>二、主动公开政府信息情况</w:t>
      </w:r>
    </w:p>
    <w:p>
      <w:pPr>
        <w:pStyle w:val="7"/>
        <w:widowControl/>
        <w:shd w:val="clear" w:color="auto" w:fill="FFFFFF"/>
        <w:spacing w:before="0" w:beforeAutospacing="0" w:after="0" w:afterAutospacing="0" w:line="560" w:lineRule="exact"/>
        <w:ind w:firstLine="420"/>
        <w:jc w:val="center"/>
        <w:rPr>
          <w:rFonts w:ascii="宋体" w:hAnsi="宋体" w:eastAsia="宋体" w:cs="宋体"/>
          <w:color w:val="333333"/>
          <w:sz w:val="32"/>
          <w:szCs w:val="32"/>
        </w:rPr>
      </w:pPr>
    </w:p>
    <w:tbl>
      <w:tblPr>
        <w:tblStyle w:val="8"/>
        <w:tblW w:w="9735"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30"/>
        <w:gridCol w:w="2430"/>
        <w:gridCol w:w="2430"/>
        <w:gridCol w:w="2445"/>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第二十条第（一）项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信息内容</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本年</w:t>
            </w:r>
            <w:r>
              <w:rPr>
                <w:rFonts w:hint="eastAsia" w:ascii="仿宋_GB2312" w:hAnsi="仿宋_GB2312" w:eastAsia="仿宋_GB2312" w:cs="仿宋_GB2312"/>
                <w:color w:val="333333"/>
                <w:sz w:val="32"/>
                <w:szCs w:val="32"/>
              </w:rPr>
              <w:t>制发件数</w:t>
            </w:r>
          </w:p>
        </w:tc>
        <w:tc>
          <w:tcPr>
            <w:tcW w:w="2430"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本年废止件数</w:t>
            </w:r>
          </w:p>
        </w:tc>
        <w:tc>
          <w:tcPr>
            <w:tcW w:w="244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现行有效件</w:t>
            </w:r>
            <w:r>
              <w:rPr>
                <w:rFonts w:hint="eastAsia" w:ascii="仿宋_GB2312" w:hAnsi="仿宋_GB2312" w:eastAsia="仿宋_GB2312" w:cs="仿宋_GB2312"/>
                <w:color w:val="333333"/>
                <w:sz w:val="32"/>
                <w:szCs w:val="32"/>
              </w:rPr>
              <w:t>数</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规章</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行政规范性文件</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2430"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244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第二十条第（五）项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信息内容</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行政许可</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第二十条第（六）项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信息内容</w:t>
            </w:r>
          </w:p>
        </w:tc>
        <w:tc>
          <w:tcPr>
            <w:tcW w:w="7305" w:type="dxa"/>
            <w:gridSpan w:val="3"/>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本年处理决定数量</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行政处罚</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行政强制</w:t>
            </w:r>
          </w:p>
        </w:tc>
        <w:tc>
          <w:tcPr>
            <w:tcW w:w="7305" w:type="dxa"/>
            <w:gridSpan w:val="3"/>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第二十条第（八）项</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信息内容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本年收费金额（单位：万元）</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行政事业性收费</w:t>
            </w:r>
          </w:p>
        </w:tc>
        <w:tc>
          <w:tcPr>
            <w:tcW w:w="7305" w:type="dxa"/>
            <w:gridSpan w:val="3"/>
            <w:tcBorders>
              <w:top w:val="nil"/>
              <w:left w:val="nil"/>
              <w:bottom w:val="single" w:color="auto" w:sz="6" w:space="0"/>
              <w:right w:val="single" w:color="000000"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bl>
    <w:p>
      <w:pPr>
        <w:pStyle w:val="7"/>
        <w:widowControl/>
        <w:shd w:val="clear" w:color="auto" w:fill="FFFFFF"/>
        <w:spacing w:before="0" w:beforeAutospacing="0" w:after="0" w:afterAutospacing="0" w:line="560" w:lineRule="exact"/>
        <w:ind w:firstLine="640" w:firstLineChars="200"/>
        <w:rPr>
          <w:rFonts w:ascii="宋体" w:hAnsi="宋体" w:eastAsia="宋体" w:cs="宋体"/>
          <w:b/>
          <w:bCs/>
          <w:color w:val="333333"/>
          <w:sz w:val="32"/>
          <w:szCs w:val="32"/>
          <w:shd w:val="clear" w:color="auto" w:fill="FFFFFF"/>
        </w:rPr>
      </w:pPr>
      <w:r>
        <w:rPr>
          <w:rFonts w:hint="eastAsia" w:ascii="黑体" w:hAnsi="黑体" w:eastAsia="黑体" w:cs="黑体"/>
          <w:color w:val="333333"/>
          <w:sz w:val="32"/>
          <w:szCs w:val="32"/>
          <w:shd w:val="clear" w:color="auto" w:fill="FFFFFF"/>
        </w:rPr>
        <w:t>三、收到和处理政府信息公开申请情况</w:t>
      </w:r>
    </w:p>
    <w:tbl>
      <w:tblPr>
        <w:tblStyle w:val="8"/>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78"/>
        <w:gridCol w:w="1080"/>
        <w:gridCol w:w="3088"/>
        <w:gridCol w:w="686"/>
        <w:gridCol w:w="686"/>
        <w:gridCol w:w="686"/>
        <w:gridCol w:w="686"/>
        <w:gridCol w:w="686"/>
        <w:gridCol w:w="687"/>
        <w:gridCol w:w="687"/>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vMerge w:val="restart"/>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（本列数据的勾稽关系为：第一项加第二项之和，等于第三项加第四项之和）</w:t>
            </w:r>
          </w:p>
        </w:tc>
        <w:tc>
          <w:tcPr>
            <w:tcW w:w="4804" w:type="dxa"/>
            <w:gridSpan w:val="7"/>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申请人情况</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86" w:type="dxa"/>
            <w:vMerge w:val="restart"/>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自然人</w:t>
            </w:r>
          </w:p>
        </w:tc>
        <w:tc>
          <w:tcPr>
            <w:tcW w:w="3431" w:type="dxa"/>
            <w:gridSpan w:val="5"/>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法人或其他组织</w:t>
            </w:r>
          </w:p>
        </w:tc>
        <w:tc>
          <w:tcPr>
            <w:tcW w:w="687" w:type="dxa"/>
            <w:vMerge w:val="restart"/>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vMerge w:val="continue"/>
            <w:tcBorders>
              <w:top w:val="single" w:color="auto" w:sz="6" w:space="0"/>
              <w:left w:val="single" w:color="auto" w:sz="6" w:space="0"/>
              <w:bottom w:val="outset"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86" w:type="dxa"/>
            <w:vMerge w:val="continue"/>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商业</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企业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科研</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机构</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社会公益组织</w:t>
            </w:r>
          </w:p>
        </w:tc>
        <w:tc>
          <w:tcPr>
            <w:tcW w:w="686"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法律服务机构</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w:t>
            </w:r>
          </w:p>
        </w:tc>
        <w:tc>
          <w:tcPr>
            <w:tcW w:w="687" w:type="dxa"/>
            <w:vMerge w:val="continue"/>
            <w:tcBorders>
              <w:top w:val="single"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一、本年新收政府信息公开申请数量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90" w:hRule="atLeast"/>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二、上年结转政府信息公开申请数量</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restart"/>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三、本年度办理结果</w:t>
            </w: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（一）予以公开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（二）部分公开（区分处理的，只计这一情形，不计其他情形）</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widowControl/>
              <w:spacing w:line="560" w:lineRule="exact"/>
              <w:jc w:val="center"/>
              <w:rPr>
                <w:rFonts w:ascii="仿宋_GB2312" w:hAnsi="仿宋_GB2312" w:eastAsia="仿宋_GB2312" w:cs="仿宋_GB2312"/>
                <w:color w:val="333333"/>
                <w:sz w:val="32"/>
                <w:szCs w:val="32"/>
              </w:rPr>
            </w:pPr>
          </w:p>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（三）不予公开</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1.属于国家秘密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2.其他法律行政法规禁止公开</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3.危及“三安全一稳定”</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4.保护第三方合法权益</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5.属于三类内部事务信息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6.属于四类过程性信息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7.属于行政执法案卷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8.属于行政查询事项</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（四）无法提供</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1.本机关不掌握相关政府信息</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2.没有现成信息需要另行制作</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3.补正后申请内容仍不明确</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restart"/>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（五）不予处理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1.信访举报投诉类申请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2.重复申请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3.要求提供公开出版物</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4.无正当理由大量反复申请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80" w:hRule="atLeast"/>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5.要求行政机关确认或重新出具已获取信息</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outset"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restart"/>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（六）其他处理</w:t>
            </w: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1.申请人无正当理由逾期不补正、行政机关不再处理其政府信息公开申请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2.申请人逾期未按收费通知要求缴纳费用、行政机关不再处理其政府信息公开申请</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1080" w:type="dxa"/>
            <w:vMerge w:val="continue"/>
            <w:tcBorders>
              <w:top w:val="outset" w:color="auto" w:sz="6" w:space="0"/>
              <w:left w:val="nil"/>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3088"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3.其他</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778" w:type="dxa"/>
            <w:vMerge w:val="continue"/>
            <w:tcBorders>
              <w:top w:val="nil"/>
              <w:left w:val="single" w:color="auto" w:sz="6" w:space="0"/>
              <w:bottom w:val="outset" w:color="auto" w:sz="6" w:space="0"/>
              <w:right w:val="single" w:color="auto" w:sz="6" w:space="0"/>
            </w:tcBorders>
            <w:shd w:val="clear" w:color="auto" w:fill="FFFFFF"/>
            <w:tcMar>
              <w:top w:w="0" w:type="dxa"/>
              <w:left w:w="60" w:type="dxa"/>
              <w:bottom w:w="0" w:type="dxa"/>
              <w:right w:w="60" w:type="dxa"/>
            </w:tcMar>
            <w:vAlign w:val="center"/>
          </w:tcPr>
          <w:p>
            <w:pPr>
              <w:spacing w:line="560" w:lineRule="exact"/>
              <w:jc w:val="left"/>
              <w:rPr>
                <w:rFonts w:ascii="仿宋_GB2312" w:hAnsi="仿宋_GB2312" w:eastAsia="仿宋_GB2312" w:cs="仿宋_GB2312"/>
                <w:color w:val="333333"/>
                <w:sz w:val="32"/>
                <w:szCs w:val="32"/>
              </w:rPr>
            </w:pPr>
          </w:p>
        </w:tc>
        <w:tc>
          <w:tcPr>
            <w:tcW w:w="4168" w:type="dxa"/>
            <w:gridSpan w:val="2"/>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（七）总计</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4946" w:type="dxa"/>
            <w:gridSpan w:val="3"/>
            <w:tcBorders>
              <w:top w:val="nil"/>
              <w:left w:val="single" w:color="auto" w:sz="6" w:space="0"/>
              <w:bottom w:val="single" w:color="auto" w:sz="6" w:space="0"/>
              <w:right w:val="single" w:color="auto" w:sz="6" w:space="0"/>
            </w:tcBorders>
            <w:shd w:val="clear" w:color="auto" w:fill="FFFFFF"/>
            <w:tcMar>
              <w:top w:w="0" w:type="dxa"/>
              <w:left w:w="60" w:type="dxa"/>
              <w:bottom w:w="0" w:type="dxa"/>
              <w:right w:w="60" w:type="dxa"/>
            </w:tcMar>
            <w:vAlign w:val="center"/>
          </w:tcPr>
          <w:p>
            <w:pPr>
              <w:pStyle w:val="7"/>
              <w:widowControl/>
              <w:spacing w:before="0" w:beforeAutospacing="0" w:after="0" w:afterAutospacing="0" w:line="560" w:lineRule="exact"/>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四、结转下年度继续办理</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6"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87"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widowControl/>
              <w:spacing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r>
    </w:tbl>
    <w:p>
      <w:pPr>
        <w:pStyle w:val="7"/>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四、政府信息公开行政复议、行政诉讼情况</w:t>
      </w:r>
    </w:p>
    <w:tbl>
      <w:tblPr>
        <w:tblStyle w:val="8"/>
        <w:tblW w:w="9750" w:type="dxa"/>
        <w:jc w:val="center"/>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PrEx>
        <w:trPr>
          <w:jc w:val="center"/>
        </w:trPr>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行政复议</w:t>
            </w:r>
          </w:p>
        </w:tc>
        <w:tc>
          <w:tcPr>
            <w:tcW w:w="6500"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行政诉讼</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CellMar>
            <w:top w:w="0" w:type="dxa"/>
            <w:left w:w="0" w:type="dxa"/>
            <w:bottom w:w="0" w:type="dxa"/>
            <w:right w:w="0" w:type="dxa"/>
          </w:tblCellMar>
        </w:tblPrEx>
        <w:trPr>
          <w:jc w:val="center"/>
        </w:trPr>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结果维持</w:t>
            </w:r>
          </w:p>
        </w:tc>
        <w:tc>
          <w:tcPr>
            <w:tcW w:w="6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结果</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纠正</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其他</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尚未</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审结</w:t>
            </w:r>
          </w:p>
        </w:tc>
        <w:tc>
          <w:tcPr>
            <w:tcW w:w="65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未经复议直接起诉</w:t>
            </w:r>
          </w:p>
        </w:tc>
        <w:tc>
          <w:tcPr>
            <w:tcW w:w="325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复议后起诉</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PrEx>
        <w:trPr>
          <w:jc w:val="center"/>
        </w:trPr>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5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560" w:lineRule="exact"/>
              <w:jc w:val="left"/>
              <w:rPr>
                <w:rFonts w:ascii="仿宋_GB2312" w:hAnsi="仿宋_GB2312" w:eastAsia="仿宋_GB2312" w:cs="仿宋_GB2312"/>
                <w:color w:val="333333"/>
                <w:sz w:val="32"/>
                <w:szCs w:val="32"/>
              </w:rPr>
            </w:pP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结果</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维持</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结果</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其他</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尚未</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总计</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结果</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维持</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结果</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纠正</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结果</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尚未</w:t>
            </w:r>
          </w:p>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审结</w:t>
            </w:r>
          </w:p>
        </w:tc>
        <w:tc>
          <w:tcPr>
            <w:tcW w:w="6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widowControl/>
              <w:spacing w:before="0" w:beforeAutospacing="0" w:after="0" w:afterAutospacing="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总计</w:t>
            </w:r>
          </w:p>
        </w:tc>
      </w:tr>
      <w:tr>
        <w:tblPrEx>
          <w:tblBorders>
            <w:top w:val="single" w:color="A5A5A5" w:sz="6" w:space="0"/>
            <w:left w:val="single" w:color="A5A5A5" w:sz="6" w:space="0"/>
            <w:bottom w:val="single" w:color="A5A5A5" w:sz="6" w:space="0"/>
            <w:right w:val="single" w:color="A5A5A5" w:sz="6" w:space="0"/>
            <w:insideH w:val="none" w:color="auto" w:sz="0" w:space="0"/>
            <w:insideV w:val="none" w:color="auto" w:sz="0" w:space="0"/>
          </w:tblBorders>
        </w:tblPrEx>
        <w:trPr>
          <w:trHeight w:val="675" w:hRule="atLeast"/>
          <w:jc w:val="center"/>
        </w:trPr>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widowControl/>
              <w:spacing w:line="560" w:lineRule="exact"/>
              <w:jc w:val="lef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0</w:t>
            </w:r>
          </w:p>
        </w:tc>
        <w:tc>
          <w:tcPr>
            <w:tcW w:w="6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spacing w:line="560" w:lineRule="exact"/>
              <w:jc w:val="center"/>
              <w:rPr>
                <w:rFonts w:ascii="仿宋_GB2312" w:hAnsi="仿宋_GB2312" w:eastAsia="仿宋_GB2312" w:cs="仿宋_GB2312"/>
                <w:color w:val="333333"/>
                <w:sz w:val="32"/>
                <w:szCs w:val="32"/>
              </w:rPr>
            </w:pPr>
            <w:r>
              <w:rPr>
                <w:rFonts w:ascii="仿宋_GB2312" w:hAnsi="仿宋_GB2312" w:eastAsia="仿宋_GB2312" w:cs="仿宋_GB2312"/>
                <w:color w:val="333333"/>
                <w:sz w:val="32"/>
                <w:szCs w:val="32"/>
              </w:rPr>
              <w:t>0</w:t>
            </w:r>
          </w:p>
        </w:tc>
      </w:tr>
    </w:tbl>
    <w:p>
      <w:pPr>
        <w:pStyle w:val="7"/>
        <w:widowControl/>
        <w:shd w:val="clear" w:color="auto" w:fill="FFFFFF"/>
        <w:spacing w:before="0" w:beforeAutospacing="0" w:after="0" w:afterAutospacing="0" w:line="560" w:lineRule="exact"/>
        <w:ind w:firstLine="643" w:firstLineChars="200"/>
        <w:jc w:val="both"/>
        <w:rPr>
          <w:rFonts w:ascii="仿宋_GB2312" w:hAnsi="仿宋_GB2312" w:eastAsia="仿宋_GB2312" w:cs="仿宋_GB2312"/>
          <w:b/>
          <w:color w:val="333333"/>
          <w:sz w:val="32"/>
          <w:szCs w:val="32"/>
        </w:rPr>
      </w:pPr>
      <w:r>
        <w:rPr>
          <w:rFonts w:hint="eastAsia" w:ascii="黑体" w:hAnsi="黑体" w:eastAsia="黑体" w:cs="黑体"/>
          <w:b/>
          <w:color w:val="333333"/>
          <w:sz w:val="32"/>
          <w:szCs w:val="32"/>
          <w:shd w:val="clear" w:color="auto" w:fill="FFFFFF"/>
        </w:rPr>
        <w:t>五、存在的主要问题及改进情况</w:t>
      </w:r>
    </w:p>
    <w:p>
      <w:pPr>
        <w:pStyle w:val="4"/>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在公开政府信息主动性、时效性有待进一步加强，部门平台互动能力需加快推进。下一步，我局将继续加强信息公开力度，拓展政府信息公开内容；创新公开形式，进一步提升服务质量和效率，确保政府信息公开及时、准确、规范，不断提高退役军人及其他优抚对象对我局政务公开工作的满意度。进一步完善政府信息公开内容体系。及时、规范地做好公文类政府信息公开；进一步重点领域信息公开的权威性、时效性；进一步完善公众关注度高的规范性文件、重大决策及政策解读的主动公开工作，不断丰富解读形式，提高解读效果。运用新媒体、新思路，创新信息公开形式，及时回应公众关注热点或重大舆情，不断适应公众对信息公开的高要求。</w:t>
      </w:r>
    </w:p>
    <w:p>
      <w:pPr>
        <w:pStyle w:val="7"/>
        <w:widowControl/>
        <w:spacing w:before="0" w:beforeAutospacing="0" w:after="0" w:afterAutospacing="0" w:line="560" w:lineRule="exact"/>
        <w:ind w:left="-226" w:right="-226" w:firstLine="646" w:firstLineChars="201"/>
        <w:rPr>
          <w:rFonts w:ascii="黑体" w:hAnsi="黑体" w:eastAsia="黑体" w:cs="黑体"/>
          <w:b/>
          <w:color w:val="333333"/>
          <w:sz w:val="32"/>
          <w:szCs w:val="32"/>
          <w:shd w:val="clear" w:color="auto" w:fill="FFFFFF"/>
        </w:rPr>
      </w:pPr>
      <w:r>
        <w:rPr>
          <w:rFonts w:hint="eastAsia" w:ascii="黑体" w:hAnsi="黑体" w:eastAsia="黑体" w:cs="黑体"/>
          <w:b/>
          <w:color w:val="333333"/>
          <w:sz w:val="32"/>
          <w:szCs w:val="32"/>
          <w:shd w:val="clear" w:color="auto" w:fill="FFFFFF"/>
        </w:rPr>
        <w:t>六、其他需要报告的事项</w:t>
      </w:r>
    </w:p>
    <w:p>
      <w:pPr>
        <w:widowControl/>
        <w:spacing w:line="560" w:lineRule="exact"/>
        <w:ind w:firstLine="482"/>
        <w:rPr>
          <w:rFonts w:eastAsia="仿宋_GB2312"/>
        </w:rPr>
      </w:pPr>
      <w:r>
        <w:rPr>
          <w:rFonts w:hint="eastAsia" w:ascii="仿宋_GB2312" w:hAnsi="仿宋_GB2312" w:eastAsia="仿宋_GB2312" w:cs="仿宋_GB2312"/>
          <w:color w:val="333333"/>
          <w:kern w:val="0"/>
          <w:sz w:val="32"/>
          <w:szCs w:val="32"/>
        </w:rPr>
        <w:t>无其他需要报告的事项。</w:t>
      </w:r>
    </w:p>
    <w:p>
      <w:pPr>
        <w:pStyle w:val="7"/>
        <w:widowControl/>
        <w:shd w:val="clear" w:color="auto" w:fill="FFFFFF"/>
        <w:spacing w:before="0" w:beforeAutospacing="0" w:after="0" w:afterAutospacing="0" w:line="560" w:lineRule="exact"/>
        <w:ind w:left="420" w:leftChars="200"/>
        <w:jc w:val="both"/>
        <w:rPr>
          <w:rFonts w:ascii="仿宋_GB2312" w:hAnsi="仿宋_GB2312" w:eastAsia="仿宋_GB2312" w:cs="仿宋_GB2312"/>
          <w:sz w:val="32"/>
          <w:szCs w:val="32"/>
        </w:rPr>
      </w:pPr>
    </w:p>
    <w:p>
      <w:pPr>
        <w:pStyle w:val="7"/>
        <w:widowControl/>
        <w:shd w:val="clear" w:color="auto" w:fill="FFFFFF"/>
        <w:spacing w:before="0" w:beforeAutospacing="0" w:after="0" w:afterAutospacing="0" w:line="520" w:lineRule="exact"/>
        <w:ind w:firstLine="640" w:firstLineChars="200"/>
        <w:jc w:val="both"/>
        <w:rPr>
          <w:rFonts w:ascii="仿宋_GB2312" w:hAnsi="仿宋_GB2312" w:eastAsia="仿宋_GB2312" w:cs="仿宋_GB2312"/>
          <w:sz w:val="32"/>
          <w:szCs w:val="32"/>
        </w:rPr>
      </w:pPr>
    </w:p>
    <w:bookmarkEnd w:id="0"/>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6366C2"/>
    <w:rsid w:val="001017BA"/>
    <w:rsid w:val="001433D3"/>
    <w:rsid w:val="001E083A"/>
    <w:rsid w:val="003067BC"/>
    <w:rsid w:val="003D1F40"/>
    <w:rsid w:val="00423DF5"/>
    <w:rsid w:val="004A0828"/>
    <w:rsid w:val="004E4409"/>
    <w:rsid w:val="005F6F9E"/>
    <w:rsid w:val="007F135A"/>
    <w:rsid w:val="00807CBD"/>
    <w:rsid w:val="00844ABF"/>
    <w:rsid w:val="00877D7D"/>
    <w:rsid w:val="00A33FA2"/>
    <w:rsid w:val="00A420BC"/>
    <w:rsid w:val="00A645BB"/>
    <w:rsid w:val="00BB10EF"/>
    <w:rsid w:val="00C36075"/>
    <w:rsid w:val="00C96190"/>
    <w:rsid w:val="00DF7953"/>
    <w:rsid w:val="00E06536"/>
    <w:rsid w:val="00EA4542"/>
    <w:rsid w:val="038B35E6"/>
    <w:rsid w:val="10536FFB"/>
    <w:rsid w:val="286366C2"/>
    <w:rsid w:val="3AE21444"/>
    <w:rsid w:val="4F43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3">
    <w:name w:val="Body Text"/>
    <w:basedOn w:val="1"/>
    <w:next w:val="1"/>
    <w:qFormat/>
    <w:uiPriority w:val="99"/>
    <w:pPr>
      <w:spacing w:after="120"/>
    </w:pPr>
    <w:rPr>
      <w:rFonts w:ascii="Times New Roman" w:hAnsi="Times New Roman" w:eastAsia="宋体" w:cs="Times New Roman"/>
    </w:rPr>
  </w:style>
  <w:style w:type="paragraph" w:styleId="4">
    <w:name w:val="Plain Text"/>
    <w:basedOn w:val="1"/>
    <w:link w:val="12"/>
    <w:uiPriority w:val="0"/>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Hyperlink"/>
    <w:basedOn w:val="9"/>
    <w:uiPriority w:val="0"/>
    <w:rPr>
      <w:color w:val="0000FF"/>
      <w:u w:val="single"/>
    </w:rPr>
  </w:style>
  <w:style w:type="character" w:customStyle="1" w:styleId="11">
    <w:name w:val="纯文本 Char"/>
    <w:basedOn w:val="9"/>
    <w:link w:val="4"/>
    <w:uiPriority w:val="0"/>
    <w:rPr>
      <w:rFonts w:ascii="宋体" w:hAnsi="Courier New" w:cs="Courier New"/>
      <w:kern w:val="2"/>
      <w:sz w:val="21"/>
      <w:szCs w:val="21"/>
    </w:rPr>
  </w:style>
  <w:style w:type="character" w:customStyle="1" w:styleId="12">
    <w:name w:val="纯文本 Char1"/>
    <w:basedOn w:val="9"/>
    <w:link w:val="4"/>
    <w:uiPriority w:val="0"/>
    <w:rPr>
      <w:rFonts w:ascii="宋体" w:hAnsi="Courier New" w:cs="Courier New"/>
      <w:kern w:val="2"/>
      <w:sz w:val="21"/>
      <w:szCs w:val="21"/>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434</Words>
  <Characters>2477</Characters>
  <Lines>20</Lines>
  <Paragraphs>5</Paragraphs>
  <TotalTime>87</TotalTime>
  <ScaleCrop>false</ScaleCrop>
  <LinksUpToDate>false</LinksUpToDate>
  <CharactersWithSpaces>2906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2022-01-26T09:49:00Z</dcterms:created>
  <dc:creator>Administrator</dc:creator>
  <cp:lastModifiedBy>Administrator</cp:lastModifiedBy>
  <cp:lastPrinted>2022-01-28T07:54:00Z</cp:lastPrinted>
  <dcterms:modified xsi:type="dcterms:W3CDTF">2022-01-29T08:20:10Z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2B84AE1FA4B24364AD361035C927D3B5</vt:lpwstr>
  </property>
</Properties>
</file>