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双鸭山市岭东区司法局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84"/>
          <w:szCs w:val="84"/>
        </w:rPr>
      </w:pPr>
      <w:r>
        <w:rPr>
          <w:rFonts w:ascii="黑体" w:hAnsi="黑体" w:eastAsia="黑体"/>
          <w:b/>
          <w:bCs/>
          <w:sz w:val="84"/>
          <w:szCs w:val="84"/>
        </w:rPr>
        <w:t>2019</w:t>
      </w:r>
      <w:r>
        <w:rPr>
          <w:rFonts w:hint="eastAsia" w:ascii="黑体" w:hAnsi="黑体" w:eastAsia="黑体"/>
          <w:b/>
          <w:bCs/>
          <w:sz w:val="84"/>
          <w:szCs w:val="84"/>
        </w:rPr>
        <w:t>年部门预算</w:t>
      </w:r>
    </w:p>
    <w:p>
      <w:pPr>
        <w:widowControl/>
        <w:spacing w:line="360" w:lineRule="auto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目</w:t>
      </w:r>
      <w:r>
        <w:rPr>
          <w:rFonts w:ascii="黑体" w:hAnsi="黑体" w:eastAsia="黑体"/>
          <w:b/>
          <w:bCs/>
          <w:sz w:val="48"/>
          <w:szCs w:val="48"/>
        </w:rPr>
        <w:t xml:space="preserve">    </w:t>
      </w:r>
      <w:r>
        <w:rPr>
          <w:rFonts w:hint="eastAsia" w:ascii="黑体" w:hAnsi="黑体" w:eastAsia="黑体"/>
          <w:b/>
          <w:bCs/>
          <w:sz w:val="48"/>
          <w:szCs w:val="48"/>
        </w:rPr>
        <w:t>录</w:t>
      </w: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第一部分</w:t>
      </w:r>
      <w:r>
        <w:rPr>
          <w:rFonts w:ascii="黑体" w:eastAsia="黑体"/>
          <w:kern w:val="0"/>
          <w:sz w:val="36"/>
          <w:szCs w:val="36"/>
        </w:rPr>
        <w:t xml:space="preserve"> </w:t>
      </w:r>
      <w:r>
        <w:rPr>
          <w:rFonts w:hint="eastAsia" w:ascii="黑体" w:eastAsia="黑体"/>
          <w:kern w:val="0"/>
          <w:sz w:val="36"/>
          <w:szCs w:val="36"/>
        </w:rPr>
        <w:t>双鸭山市岭东区司法局概况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一、部门职责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二、部门机构设置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三、部门人员构成</w:t>
      </w: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第二部分双鸭山市岭东区司法局</w:t>
      </w:r>
      <w:r>
        <w:rPr>
          <w:rFonts w:ascii="黑体" w:eastAsia="黑体"/>
          <w:kern w:val="0"/>
          <w:sz w:val="36"/>
          <w:szCs w:val="36"/>
        </w:rPr>
        <w:t>2019</w:t>
      </w:r>
      <w:r>
        <w:rPr>
          <w:rFonts w:hint="eastAsia" w:ascii="黑体" w:eastAsia="黑体"/>
          <w:kern w:val="0"/>
          <w:sz w:val="36"/>
          <w:szCs w:val="36"/>
        </w:rPr>
        <w:t>年预算报表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一、部门收支总体情况表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二、部门收入总体情况表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三、部门支出总体情况表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四、财政拨款收支总体情况表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五、一般公共预算支出情况表（功能科目）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六、一般公共预算基本支出情况表（部门经济科目）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七、一般公共预算支出情况表（政府经济科目）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八、政府性基金预算支出情况表（功能科目）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九、政府性基金预算支出情况表（部门经济科目）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十、政府性基金预算支出情况表（政府经济科目）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十一、一般公共预算“三公”经费支出情况表。</w:t>
      </w: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第三部分</w:t>
      </w:r>
      <w:r>
        <w:rPr>
          <w:rFonts w:ascii="黑体" w:eastAsia="黑体"/>
          <w:kern w:val="0"/>
          <w:sz w:val="36"/>
          <w:szCs w:val="36"/>
        </w:rPr>
        <w:t xml:space="preserve"> </w:t>
      </w:r>
      <w:r>
        <w:rPr>
          <w:rFonts w:hint="eastAsia" w:ascii="黑体" w:eastAsia="黑体"/>
          <w:kern w:val="0"/>
          <w:sz w:val="36"/>
          <w:szCs w:val="36"/>
        </w:rPr>
        <w:t>双鸭山市岭东区司法局</w:t>
      </w:r>
      <w:r>
        <w:rPr>
          <w:rFonts w:ascii="黑体" w:eastAsia="黑体"/>
          <w:kern w:val="0"/>
          <w:sz w:val="36"/>
          <w:szCs w:val="36"/>
        </w:rPr>
        <w:t>2019</w:t>
      </w:r>
      <w:r>
        <w:rPr>
          <w:rFonts w:hint="eastAsia" w:ascii="黑体" w:eastAsia="黑体"/>
          <w:kern w:val="0"/>
          <w:sz w:val="36"/>
          <w:szCs w:val="36"/>
        </w:rPr>
        <w:t>年部门预算情况说明</w:t>
      </w: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第四部分</w:t>
      </w:r>
      <w:r>
        <w:rPr>
          <w:rFonts w:ascii="黑体" w:eastAsia="黑体"/>
          <w:kern w:val="0"/>
          <w:sz w:val="36"/>
          <w:szCs w:val="36"/>
        </w:rPr>
        <w:t xml:space="preserve"> </w:t>
      </w:r>
      <w:r>
        <w:rPr>
          <w:rFonts w:hint="eastAsia" w:ascii="黑体" w:eastAsia="黑体"/>
          <w:kern w:val="0"/>
          <w:sz w:val="36"/>
          <w:szCs w:val="36"/>
        </w:rPr>
        <w:t>名词解释</w:t>
      </w:r>
    </w:p>
    <w:p>
      <w:pPr>
        <w:widowControl/>
        <w:spacing w:line="360" w:lineRule="auto"/>
        <w:jc w:val="center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第一部分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岭东区司法局概况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一、部门职责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（一）贯彻执行国家司法行政工作的法律、法规和方针、政策，制订全区司法行政工作的政策，法规及中长期规划，年度计划，并监督实施。</w:t>
      </w:r>
      <w:r>
        <w:rPr>
          <w:rFonts w:ascii="仿宋_GB2312" w:hAnsi="黑体" w:eastAsia="仿宋_GB2312"/>
          <w:bCs/>
          <w:sz w:val="32"/>
          <w:szCs w:val="32"/>
        </w:rPr>
        <w:t xml:space="preserve">  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（二）制订全区法制宣传教育和普及法律常识规划并组织实施，指导全区各（街道）、各行业的依法治理工作。</w:t>
      </w:r>
      <w:r>
        <w:rPr>
          <w:rFonts w:ascii="仿宋_GB2312" w:hAnsi="黑体" w:eastAsia="仿宋_GB2312"/>
          <w:bCs/>
          <w:sz w:val="32"/>
          <w:szCs w:val="32"/>
        </w:rPr>
        <w:t xml:space="preserve">  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（三）负责全区法律工作者资格审查工作。</w:t>
      </w:r>
      <w:r>
        <w:rPr>
          <w:rFonts w:ascii="仿宋_GB2312" w:hAnsi="黑体" w:eastAsia="仿宋_GB2312"/>
          <w:bCs/>
          <w:sz w:val="32"/>
          <w:szCs w:val="32"/>
        </w:rPr>
        <w:t xml:space="preserve">  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（四）加强对所属镇、街道司法所和司法助理员的管理和业务指导。做好全区司法行政系统的队伍建设和思想政治工作。开展对全区基层司法行政干部的培训。</w:t>
      </w:r>
      <w:r>
        <w:rPr>
          <w:rFonts w:ascii="仿宋_GB2312" w:hAnsi="黑体" w:eastAsia="仿宋_GB2312"/>
          <w:bCs/>
          <w:sz w:val="32"/>
          <w:szCs w:val="32"/>
        </w:rPr>
        <w:t xml:space="preserve">  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（五）指导、管理全区的人民调解工作。</w:t>
      </w:r>
      <w:r>
        <w:rPr>
          <w:rFonts w:ascii="仿宋_GB2312" w:hAnsi="黑体" w:eastAsia="仿宋_GB2312"/>
          <w:bCs/>
          <w:sz w:val="32"/>
          <w:szCs w:val="32"/>
        </w:rPr>
        <w:t xml:space="preserve">  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（六）指导、协调做好对刑满释放、解除劳教人员的帮教和过渡性安置工作。负责全区“</w:t>
      </w:r>
      <w:r>
        <w:rPr>
          <w:rFonts w:ascii="仿宋_GB2312" w:hAnsi="黑体" w:eastAsia="仿宋_GB2312"/>
          <w:bCs/>
          <w:sz w:val="32"/>
          <w:szCs w:val="32"/>
        </w:rPr>
        <w:t>148</w:t>
      </w:r>
      <w:r>
        <w:rPr>
          <w:rFonts w:hint="eastAsia" w:ascii="仿宋_GB2312" w:hAnsi="黑体" w:eastAsia="仿宋_GB2312"/>
          <w:bCs/>
          <w:sz w:val="32"/>
          <w:szCs w:val="32"/>
        </w:rPr>
        <w:t>”法律服务专线（信息系统）及服务、协调、指导工作</w:t>
      </w:r>
      <w:r>
        <w:rPr>
          <w:rFonts w:ascii="仿宋_GB2312" w:hAnsi="黑体" w:eastAsia="仿宋_GB2312"/>
          <w:bCs/>
          <w:sz w:val="32"/>
          <w:szCs w:val="32"/>
        </w:rPr>
        <w:t xml:space="preserve">  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（七）负责全区社区矫正及刑满释放人员的管理教育工作。</w:t>
      </w:r>
      <w:r>
        <w:rPr>
          <w:rFonts w:ascii="仿宋_GB2312" w:hAnsi="黑体" w:eastAsia="仿宋_GB2312"/>
          <w:bCs/>
          <w:sz w:val="32"/>
          <w:szCs w:val="32"/>
        </w:rPr>
        <w:t xml:space="preserve">  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（八）加强、指导、促进法律援助工作的开展。</w:t>
      </w:r>
      <w:r>
        <w:rPr>
          <w:rFonts w:ascii="仿宋_GB2312" w:hAnsi="黑体" w:eastAsia="仿宋_GB2312"/>
          <w:bCs/>
          <w:sz w:val="32"/>
          <w:szCs w:val="32"/>
        </w:rPr>
        <w:t xml:space="preserve">  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（九）加强全区基层法律服务机构管理，监督指导全区法律服务工作。</w:t>
      </w:r>
      <w:r>
        <w:rPr>
          <w:rFonts w:ascii="仿宋_GB2312" w:hAnsi="黑体" w:eastAsia="仿宋_GB2312"/>
          <w:bCs/>
          <w:sz w:val="32"/>
          <w:szCs w:val="32"/>
        </w:rPr>
        <w:t xml:space="preserve">  </w:t>
      </w:r>
    </w:p>
    <w:p>
      <w:pPr>
        <w:widowControl/>
        <w:spacing w:line="360" w:lineRule="auto"/>
        <w:ind w:firstLine="640" w:firstLineChars="200"/>
        <w:rPr>
          <w:rFonts w:ascii="楷体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（十）承办上级司法行政部门和区委、区政府交办的其他工作。</w:t>
      </w:r>
    </w:p>
    <w:p>
      <w:pPr>
        <w:widowControl/>
        <w:spacing w:line="360" w:lineRule="auto"/>
        <w:ind w:firstLine="640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二、部门机构设置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岭东区司法局预算是包括本部以及下属预算单位的综合收支计划。设</w:t>
      </w:r>
      <w:r>
        <w:rPr>
          <w:rFonts w:ascii="仿宋_GB2312" w:hAnsi="黑体" w:eastAsia="仿宋_GB2312"/>
          <w:bCs/>
          <w:sz w:val="32"/>
          <w:szCs w:val="32"/>
        </w:rPr>
        <w:t>5</w:t>
      </w:r>
      <w:r>
        <w:rPr>
          <w:rFonts w:hint="eastAsia" w:ascii="仿宋_GB2312" w:hAnsi="黑体" w:eastAsia="仿宋_GB2312"/>
          <w:bCs/>
          <w:sz w:val="32"/>
          <w:szCs w:val="32"/>
        </w:rPr>
        <w:t>个内设机构</w:t>
      </w:r>
      <w:r>
        <w:rPr>
          <w:rFonts w:ascii="仿宋_GB2312" w:hAnsi="黑体" w:eastAsia="仿宋_GB2312"/>
          <w:bCs/>
          <w:sz w:val="32"/>
          <w:szCs w:val="32"/>
        </w:rPr>
        <w:t>,</w:t>
      </w:r>
      <w:r>
        <w:rPr>
          <w:rFonts w:hint="eastAsia" w:ascii="仿宋_GB2312" w:hAnsi="黑体" w:eastAsia="仿宋_GB2312"/>
          <w:bCs/>
          <w:sz w:val="32"/>
          <w:szCs w:val="32"/>
        </w:rPr>
        <w:t>分别为第一司法所，第二司法所，第三司法所，第四司法所，长胜乡司法所。本部门中，行政单位</w:t>
      </w: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家，参公事业单位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家，事业单位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家，具体情况如下：</w:t>
      </w:r>
    </w:p>
    <w:tbl>
      <w:tblPr>
        <w:tblStyle w:val="6"/>
        <w:tblW w:w="8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605"/>
        <w:gridCol w:w="2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单位性质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ascii="仿宋_GB2312" w:hAnsi="黑体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双鸭山市岭东区司法局</w:t>
            </w: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行政单位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firstLine="640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三、部门人员构成</w:t>
      </w:r>
    </w:p>
    <w:p>
      <w:pPr>
        <w:widowControl/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岭东区司法局总编制人数</w:t>
      </w:r>
      <w:r>
        <w:rPr>
          <w:rFonts w:ascii="仿宋_GB2312" w:hAnsi="黑体" w:eastAsia="仿宋_GB2312"/>
          <w:bCs/>
          <w:sz w:val="32"/>
          <w:szCs w:val="32"/>
        </w:rPr>
        <w:t>15</w:t>
      </w:r>
      <w:r>
        <w:rPr>
          <w:rFonts w:hint="eastAsia" w:ascii="仿宋_GB2312" w:hAnsi="黑体" w:eastAsia="仿宋_GB2312"/>
          <w:bCs/>
          <w:sz w:val="32"/>
          <w:szCs w:val="32"/>
        </w:rPr>
        <w:t>人，在职实有人数</w:t>
      </w:r>
      <w:r>
        <w:rPr>
          <w:rFonts w:ascii="仿宋_GB2312" w:hAnsi="黑体" w:eastAsia="仿宋_GB2312"/>
          <w:bCs/>
          <w:sz w:val="32"/>
          <w:szCs w:val="32"/>
        </w:rPr>
        <w:t>15</w:t>
      </w:r>
      <w:r>
        <w:rPr>
          <w:rFonts w:hint="eastAsia" w:ascii="仿宋_GB2312" w:hAnsi="黑体" w:eastAsia="仿宋_GB2312"/>
          <w:bCs/>
          <w:sz w:val="32"/>
          <w:szCs w:val="32"/>
        </w:rPr>
        <w:t>人，其中：行政编制</w:t>
      </w:r>
      <w:r>
        <w:rPr>
          <w:rFonts w:ascii="仿宋_GB2312" w:hAnsi="黑体" w:eastAsia="仿宋_GB2312"/>
          <w:bCs/>
          <w:sz w:val="32"/>
          <w:szCs w:val="32"/>
        </w:rPr>
        <w:t>4</w:t>
      </w:r>
      <w:r>
        <w:rPr>
          <w:rFonts w:hint="eastAsia" w:ascii="仿宋_GB2312" w:hAnsi="黑体" w:eastAsia="仿宋_GB2312"/>
          <w:bCs/>
          <w:sz w:val="32"/>
          <w:szCs w:val="32"/>
        </w:rPr>
        <w:t>人、参公编制</w:t>
      </w:r>
      <w:r>
        <w:rPr>
          <w:rFonts w:ascii="仿宋_GB2312" w:hAnsi="黑体" w:eastAsia="仿宋_GB2312"/>
          <w:bCs/>
          <w:sz w:val="32"/>
          <w:szCs w:val="32"/>
        </w:rPr>
        <w:t>6</w:t>
      </w:r>
      <w:r>
        <w:rPr>
          <w:rFonts w:hint="eastAsia" w:ascii="仿宋_GB2312" w:hAnsi="黑体" w:eastAsia="仿宋_GB2312"/>
          <w:bCs/>
          <w:sz w:val="32"/>
          <w:szCs w:val="32"/>
        </w:rPr>
        <w:t>人、事业编制</w:t>
      </w:r>
      <w:r>
        <w:rPr>
          <w:rFonts w:ascii="仿宋_GB2312" w:hAnsi="黑体" w:eastAsia="仿宋_GB2312"/>
          <w:bCs/>
          <w:sz w:val="32"/>
          <w:szCs w:val="32"/>
        </w:rPr>
        <w:t>5</w:t>
      </w:r>
      <w:r>
        <w:rPr>
          <w:rFonts w:hint="eastAsia" w:ascii="仿宋_GB2312" w:hAnsi="黑体" w:eastAsia="仿宋_GB2312"/>
          <w:bCs/>
          <w:sz w:val="32"/>
          <w:szCs w:val="32"/>
        </w:rPr>
        <w:t>人；退休人员</w:t>
      </w: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人。与</w:t>
      </w:r>
      <w:r>
        <w:rPr>
          <w:rFonts w:ascii="仿宋_GB2312" w:hAnsi="黑体" w:eastAsia="仿宋_GB2312"/>
          <w:bCs/>
          <w:sz w:val="32"/>
          <w:szCs w:val="32"/>
        </w:rPr>
        <w:t>2018</w:t>
      </w:r>
      <w:r>
        <w:rPr>
          <w:rFonts w:hint="eastAsia" w:ascii="仿宋_GB2312" w:hAnsi="黑体" w:eastAsia="仿宋_GB2312"/>
          <w:bCs/>
          <w:sz w:val="32"/>
          <w:szCs w:val="32"/>
        </w:rPr>
        <w:t>年对比持平。</w:t>
      </w: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第二部分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岭东区司法局</w:t>
      </w:r>
      <w:r>
        <w:rPr>
          <w:rFonts w:ascii="黑体" w:hAnsi="黑体" w:eastAsia="黑体"/>
          <w:bCs/>
          <w:sz w:val="32"/>
          <w:szCs w:val="32"/>
        </w:rPr>
        <w:t>2019</w:t>
      </w:r>
      <w:r>
        <w:rPr>
          <w:rFonts w:hint="eastAsia" w:ascii="黑体" w:hAnsi="黑体" w:eastAsia="黑体"/>
          <w:bCs/>
          <w:sz w:val="32"/>
          <w:szCs w:val="32"/>
        </w:rPr>
        <w:t>年部门预算公开报表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</w:t>
      </w:r>
      <w:bookmarkStart w:id="0" w:name="OLE_LINK1"/>
      <w:r>
        <w:rPr>
          <w:rFonts w:hint="eastAsia" w:eastAsia="仿宋_GB2312"/>
          <w:kern w:val="0"/>
          <w:sz w:val="32"/>
          <w:szCs w:val="32"/>
        </w:rPr>
        <w:t>部门收支总体情况表</w:t>
      </w:r>
      <w:bookmarkEnd w:id="0"/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二、部门收入总体情况表</w:t>
      </w:r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三、部门支出总体情况表</w:t>
      </w:r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四、财政拨款收支总体情况表</w:t>
      </w:r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五、一般公共预算支出情况表（功能科目）</w:t>
      </w:r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六、一般公共预算基本支出情况表（部门经济科目）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一般公共预算支出情况表（政府经济科目）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政府性基金预算支出情况表（功能科目）</w:t>
      </w:r>
    </w:p>
    <w:p>
      <w:pPr>
        <w:numPr>
          <w:ilvl w:val="0"/>
          <w:numId w:val="1"/>
        </w:num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政府性基金预算支出情况表（部门经济科目）</w:t>
      </w:r>
    </w:p>
    <w:p>
      <w:pPr>
        <w:widowControl/>
        <w:numPr>
          <w:ilvl w:val="0"/>
          <w:numId w:val="1"/>
        </w:num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政府性基金预算支出情况表（政府经济科目）</w:t>
      </w:r>
    </w:p>
    <w:p>
      <w:pPr>
        <w:widowControl/>
        <w:numPr>
          <w:ilvl w:val="0"/>
          <w:numId w:val="1"/>
        </w:num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一般公共预算“三公”经费支出情况表。</w:t>
      </w: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第三部分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岭东区司法局</w:t>
      </w:r>
      <w:r>
        <w:rPr>
          <w:rFonts w:ascii="黑体" w:hAnsi="黑体" w:eastAsia="黑体"/>
          <w:bCs/>
          <w:sz w:val="32"/>
          <w:szCs w:val="32"/>
        </w:rPr>
        <w:t>2019</w:t>
      </w:r>
      <w:r>
        <w:rPr>
          <w:rFonts w:hint="eastAsia" w:ascii="黑体" w:hAnsi="黑体" w:eastAsia="黑体"/>
          <w:bCs/>
          <w:sz w:val="32"/>
          <w:szCs w:val="32"/>
        </w:rPr>
        <w:t>年</w:t>
      </w: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部门预算情况说明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</w:rPr>
        <w:t>部门收支总体情况表的说明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年收支总预算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万元，比上年预算数增加</w:t>
      </w:r>
      <w:r>
        <w:rPr>
          <w:rFonts w:ascii="仿宋_GB2312" w:hAnsi="黑体" w:eastAsia="仿宋_GB2312"/>
          <w:bCs/>
          <w:sz w:val="32"/>
          <w:szCs w:val="32"/>
        </w:rPr>
        <w:t>21.1</w:t>
      </w:r>
      <w:r>
        <w:rPr>
          <w:rFonts w:hint="eastAsia" w:ascii="仿宋_GB2312" w:hAnsi="黑体" w:eastAsia="仿宋_GB2312"/>
          <w:bCs/>
          <w:sz w:val="32"/>
          <w:szCs w:val="32"/>
        </w:rPr>
        <w:t>万元。收入包括：一般公共预算收入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万元、政府性基金收入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万元、国有资本经营收入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万元、财政专户资金收入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万元、事业收入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万元、事业单位经营收入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万元、其它收入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万元；支出包括：一般公共服务支出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万元、公共安全支出</w:t>
      </w:r>
      <w:r>
        <w:rPr>
          <w:rFonts w:ascii="仿宋_GB2312" w:hAnsi="黑体" w:eastAsia="仿宋_GB2312"/>
          <w:bCs/>
          <w:sz w:val="32"/>
          <w:szCs w:val="32"/>
        </w:rPr>
        <w:t>75</w:t>
      </w:r>
      <w:r>
        <w:rPr>
          <w:rFonts w:hint="eastAsia" w:ascii="仿宋_GB2312" w:hAnsi="黑体" w:eastAsia="仿宋_GB2312"/>
          <w:bCs/>
          <w:sz w:val="32"/>
          <w:szCs w:val="32"/>
        </w:rPr>
        <w:t>万元、社会保障和就业支出</w:t>
      </w:r>
      <w:r>
        <w:rPr>
          <w:rFonts w:ascii="仿宋_GB2312" w:hAnsi="黑体" w:eastAsia="仿宋_GB2312"/>
          <w:bCs/>
          <w:sz w:val="32"/>
          <w:szCs w:val="32"/>
        </w:rPr>
        <w:t>14.8</w:t>
      </w:r>
      <w:r>
        <w:rPr>
          <w:rFonts w:hint="eastAsia" w:ascii="仿宋_GB2312" w:hAnsi="黑体" w:eastAsia="仿宋_GB2312"/>
          <w:bCs/>
          <w:sz w:val="32"/>
          <w:szCs w:val="32"/>
        </w:rPr>
        <w:t>万元、住房保障支出</w:t>
      </w:r>
      <w:r>
        <w:rPr>
          <w:rFonts w:ascii="仿宋_GB2312" w:hAnsi="黑体" w:eastAsia="仿宋_GB2312"/>
          <w:bCs/>
          <w:sz w:val="32"/>
          <w:szCs w:val="32"/>
        </w:rPr>
        <w:t>6.3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  <w:r>
        <w:rPr>
          <w:rFonts w:hint="eastAsia" w:eastAsia="仿宋_GB2312"/>
          <w:kern w:val="0"/>
          <w:sz w:val="32"/>
          <w:szCs w:val="32"/>
          <w:lang w:val="zh-CN"/>
        </w:rPr>
        <w:t>按照综合预算的原则，</w:t>
      </w:r>
      <w:r>
        <w:rPr>
          <w:rFonts w:hint="eastAsia" w:ascii="仿宋_GB2312" w:hAnsi="黑体" w:eastAsia="仿宋_GB2312"/>
          <w:bCs/>
          <w:sz w:val="32"/>
          <w:szCs w:val="32"/>
        </w:rPr>
        <w:t>岭东区司法局所有收入和支出均纳入部门预算管理。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二、关于部门收入总体情况表的说明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年收入预算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万元，其中：一般公共预算收入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100%</w:t>
      </w:r>
      <w:r>
        <w:rPr>
          <w:rFonts w:hint="eastAsia" w:ascii="仿宋_GB2312" w:hAnsi="黑体" w:eastAsia="仿宋_GB2312"/>
          <w:bCs/>
          <w:sz w:val="32"/>
          <w:szCs w:val="32"/>
        </w:rPr>
        <w:t>；政府性基金收入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；国有资本经营收入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；财政专户资金收入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；事业收入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；事业单位经营收入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；其它收入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三、关于部门支出总体情况表的说明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年支出预算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万元，其中：基本支出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100%</w:t>
      </w:r>
      <w:r>
        <w:rPr>
          <w:rFonts w:hint="eastAsia" w:ascii="仿宋_GB2312" w:hAnsi="黑体" w:eastAsia="仿宋_GB2312"/>
          <w:bCs/>
          <w:sz w:val="32"/>
          <w:szCs w:val="32"/>
        </w:rPr>
        <w:t>；项目支出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；上缴上级支出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；事业单位经营支出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；对附属单位补助支出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四、关于财政拨款收支总体情况表的说明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年财政拨款收支总预算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万元。收入包括：一般公共预算收入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万元，政府性基金收入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万元，国有资本经营收入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万元。支出包括：一般公共服务支出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万元，公共安全支出</w:t>
      </w:r>
      <w:r>
        <w:rPr>
          <w:rFonts w:ascii="仿宋_GB2312" w:hAnsi="黑体" w:eastAsia="仿宋_GB2312"/>
          <w:bCs/>
          <w:sz w:val="32"/>
          <w:szCs w:val="32"/>
        </w:rPr>
        <w:t>75</w:t>
      </w:r>
      <w:r>
        <w:rPr>
          <w:rFonts w:hint="eastAsia" w:ascii="仿宋_GB2312" w:hAnsi="黑体" w:eastAsia="仿宋_GB2312"/>
          <w:bCs/>
          <w:sz w:val="32"/>
          <w:szCs w:val="32"/>
        </w:rPr>
        <w:t>万元，社会保障和就业支出</w:t>
      </w:r>
      <w:r>
        <w:rPr>
          <w:rFonts w:ascii="仿宋_GB2312" w:hAnsi="黑体" w:eastAsia="仿宋_GB2312"/>
          <w:bCs/>
          <w:sz w:val="32"/>
          <w:szCs w:val="32"/>
        </w:rPr>
        <w:t>14.8</w:t>
      </w:r>
      <w:r>
        <w:rPr>
          <w:rFonts w:hint="eastAsia" w:ascii="仿宋_GB2312" w:hAnsi="黑体" w:eastAsia="仿宋_GB2312"/>
          <w:bCs/>
          <w:sz w:val="32"/>
          <w:szCs w:val="32"/>
        </w:rPr>
        <w:t>万元，住房保障支出</w:t>
      </w:r>
      <w:r>
        <w:rPr>
          <w:rFonts w:ascii="仿宋_GB2312" w:hAnsi="黑体" w:eastAsia="仿宋_GB2312"/>
          <w:bCs/>
          <w:sz w:val="32"/>
          <w:szCs w:val="32"/>
        </w:rPr>
        <w:t>6.3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五、关于一般公共预算支出情况表（功能科目）的说明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年一般公共预算支出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万元，比上年预算数增加</w:t>
      </w:r>
      <w:r>
        <w:rPr>
          <w:rFonts w:ascii="仿宋_GB2312" w:hAnsi="黑体" w:eastAsia="仿宋_GB2312"/>
          <w:bCs/>
          <w:sz w:val="32"/>
          <w:szCs w:val="32"/>
        </w:rPr>
        <w:t>21.1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ind w:firstLine="640" w:firstLineChars="200"/>
        <w:rPr>
          <w:rFonts w:ascii="宋体" w:eastAsia="宋体" w:cs="宋体"/>
          <w:sz w:val="20"/>
          <w:szCs w:val="20"/>
        </w:rPr>
      </w:pP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、</w:t>
      </w:r>
      <w:r>
        <w:rPr>
          <w:rFonts w:ascii="仿宋_GB2312" w:hAnsi="黑体" w:eastAsia="仿宋_GB2312"/>
          <w:bCs/>
          <w:sz w:val="32"/>
          <w:szCs w:val="32"/>
        </w:rPr>
        <w:t>2040601</w:t>
      </w:r>
      <w:r>
        <w:rPr>
          <w:rFonts w:hint="eastAsia" w:ascii="仿宋_GB2312" w:hAnsi="黑体" w:eastAsia="仿宋_GB2312"/>
          <w:bCs/>
          <w:sz w:val="32"/>
          <w:szCs w:val="32"/>
        </w:rPr>
        <w:t>司法行政运行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年预算数为</w:t>
      </w:r>
      <w:r>
        <w:rPr>
          <w:rFonts w:ascii="仿宋_GB2312" w:hAnsi="黑体" w:eastAsia="仿宋_GB2312"/>
          <w:bCs/>
          <w:sz w:val="32"/>
          <w:szCs w:val="32"/>
        </w:rPr>
        <w:t>75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万元，比上年预算数增加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万元，与上年持平。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、</w:t>
      </w:r>
      <w:r>
        <w:rPr>
          <w:rFonts w:ascii="仿宋_GB2312" w:hAnsi="黑体" w:eastAsia="仿宋_GB2312"/>
          <w:bCs/>
          <w:sz w:val="32"/>
          <w:szCs w:val="32"/>
        </w:rPr>
        <w:t>2080504</w:t>
      </w:r>
      <w:r>
        <w:rPr>
          <w:rFonts w:hint="eastAsia" w:ascii="仿宋_GB2312" w:hAnsi="黑体" w:eastAsia="仿宋_GB2312"/>
          <w:bCs/>
          <w:sz w:val="32"/>
          <w:szCs w:val="32"/>
        </w:rPr>
        <w:t>未归口管理的行政单位离退休为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年预算数</w:t>
      </w:r>
      <w:r>
        <w:rPr>
          <w:rFonts w:ascii="仿宋_GB2312" w:hAnsi="黑体" w:eastAsia="仿宋_GB2312"/>
          <w:bCs/>
          <w:sz w:val="32"/>
          <w:szCs w:val="32"/>
        </w:rPr>
        <w:t>2.4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万元，比上年增加</w:t>
      </w:r>
      <w:r>
        <w:rPr>
          <w:rFonts w:ascii="仿宋_GB2312" w:hAnsi="黑体" w:eastAsia="仿宋_GB2312"/>
          <w:bCs/>
          <w:sz w:val="32"/>
          <w:szCs w:val="32"/>
        </w:rPr>
        <w:t>2.4</w:t>
      </w:r>
      <w:r>
        <w:rPr>
          <w:rFonts w:hint="eastAsia" w:ascii="仿宋_GB2312" w:hAnsi="黑体" w:eastAsia="仿宋_GB2312"/>
          <w:bCs/>
          <w:sz w:val="32"/>
          <w:szCs w:val="32"/>
        </w:rPr>
        <w:t>万元，增长</w:t>
      </w:r>
      <w:r>
        <w:rPr>
          <w:rFonts w:ascii="仿宋_GB2312" w:hAnsi="黑体" w:eastAsia="仿宋_GB2312"/>
          <w:bCs/>
          <w:sz w:val="32"/>
          <w:szCs w:val="32"/>
        </w:rPr>
        <w:t>100%,</w:t>
      </w:r>
      <w:r>
        <w:rPr>
          <w:rFonts w:hint="eastAsia" w:ascii="仿宋_GB2312" w:hAnsi="黑体" w:eastAsia="仿宋_GB2312"/>
          <w:bCs/>
          <w:sz w:val="32"/>
          <w:szCs w:val="32"/>
        </w:rPr>
        <w:t>增长原因今年新增。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、</w:t>
      </w:r>
      <w:r>
        <w:rPr>
          <w:rFonts w:ascii="仿宋_GB2312" w:hAnsi="黑体" w:eastAsia="仿宋_GB2312"/>
          <w:bCs/>
          <w:sz w:val="32"/>
          <w:szCs w:val="32"/>
        </w:rPr>
        <w:t>2080505</w:t>
      </w:r>
      <w:r>
        <w:rPr>
          <w:rFonts w:hint="eastAsia" w:ascii="仿宋_GB2312" w:hAnsi="黑体" w:eastAsia="仿宋_GB2312"/>
          <w:bCs/>
          <w:sz w:val="32"/>
          <w:szCs w:val="32"/>
        </w:rPr>
        <w:t>机关事业单位基本养老保险缴费支出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年预算数为</w:t>
      </w:r>
      <w:r>
        <w:rPr>
          <w:rFonts w:ascii="仿宋_GB2312" w:hAnsi="黑体" w:eastAsia="仿宋_GB2312"/>
          <w:bCs/>
          <w:sz w:val="32"/>
          <w:szCs w:val="32"/>
        </w:rPr>
        <w:t>12.4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万元，比上年预算数增加</w:t>
      </w:r>
      <w:r>
        <w:rPr>
          <w:rFonts w:ascii="仿宋_GB2312" w:hAnsi="黑体" w:eastAsia="仿宋_GB2312"/>
          <w:bCs/>
          <w:sz w:val="32"/>
          <w:szCs w:val="32"/>
        </w:rPr>
        <w:t>12.4</w:t>
      </w:r>
      <w:r>
        <w:rPr>
          <w:rFonts w:hint="eastAsia" w:ascii="仿宋_GB2312" w:hAnsi="黑体" w:eastAsia="仿宋_GB2312"/>
          <w:bCs/>
          <w:sz w:val="32"/>
          <w:szCs w:val="32"/>
        </w:rPr>
        <w:t>万元，增长</w:t>
      </w:r>
      <w:r>
        <w:rPr>
          <w:rFonts w:ascii="仿宋_GB2312" w:hAnsi="黑体" w:eastAsia="仿宋_GB2312"/>
          <w:bCs/>
          <w:sz w:val="32"/>
          <w:szCs w:val="32"/>
        </w:rPr>
        <w:t>100%,</w:t>
      </w:r>
      <w:r>
        <w:rPr>
          <w:rFonts w:hint="eastAsia" w:ascii="仿宋_GB2312" w:hAnsi="黑体" w:eastAsia="仿宋_GB2312"/>
          <w:bCs/>
          <w:sz w:val="32"/>
          <w:szCs w:val="32"/>
        </w:rPr>
        <w:t>增长原因今年新增。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4</w:t>
      </w:r>
      <w:r>
        <w:rPr>
          <w:rFonts w:hint="eastAsia" w:ascii="仿宋_GB2312" w:hAnsi="黑体" w:eastAsia="仿宋_GB2312"/>
          <w:bCs/>
          <w:sz w:val="32"/>
          <w:szCs w:val="32"/>
        </w:rPr>
        <w:t>、</w:t>
      </w:r>
      <w:r>
        <w:rPr>
          <w:rFonts w:ascii="仿宋_GB2312" w:hAnsi="黑体" w:eastAsia="仿宋_GB2312"/>
          <w:bCs/>
          <w:sz w:val="32"/>
          <w:szCs w:val="32"/>
        </w:rPr>
        <w:t>2210201</w:t>
      </w:r>
      <w:r>
        <w:rPr>
          <w:rFonts w:hint="eastAsia" w:ascii="仿宋_GB2312" w:hAnsi="黑体" w:eastAsia="仿宋_GB2312"/>
          <w:bCs/>
          <w:sz w:val="32"/>
          <w:szCs w:val="32"/>
        </w:rPr>
        <w:t>住房公积金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年预算数为</w:t>
      </w:r>
      <w:r>
        <w:rPr>
          <w:rFonts w:ascii="仿宋_GB2312" w:hAnsi="黑体" w:eastAsia="仿宋_GB2312"/>
          <w:bCs/>
          <w:sz w:val="32"/>
          <w:szCs w:val="32"/>
        </w:rPr>
        <w:t>6.3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万元，比上年预算数减少</w:t>
      </w:r>
      <w:r>
        <w:rPr>
          <w:rFonts w:ascii="仿宋_GB2312" w:hAnsi="黑体" w:eastAsia="仿宋_GB2312"/>
          <w:bCs/>
          <w:sz w:val="32"/>
          <w:szCs w:val="32"/>
        </w:rPr>
        <w:t>1.7</w:t>
      </w:r>
      <w:r>
        <w:rPr>
          <w:rFonts w:hint="eastAsia" w:ascii="仿宋_GB2312" w:hAnsi="黑体" w:eastAsia="仿宋_GB2312"/>
          <w:bCs/>
          <w:sz w:val="32"/>
          <w:szCs w:val="32"/>
        </w:rPr>
        <w:t>万元，减少</w:t>
      </w:r>
      <w:r>
        <w:rPr>
          <w:rFonts w:ascii="仿宋_GB2312" w:hAnsi="黑体" w:eastAsia="仿宋_GB2312"/>
          <w:bCs/>
          <w:sz w:val="32"/>
          <w:szCs w:val="32"/>
        </w:rPr>
        <w:t>21.25%,</w:t>
      </w:r>
      <w:r>
        <w:rPr>
          <w:rFonts w:hint="eastAsia" w:ascii="仿宋_GB2312" w:hAnsi="黑体" w:eastAsia="仿宋_GB2312"/>
          <w:bCs/>
          <w:sz w:val="32"/>
          <w:szCs w:val="32"/>
        </w:rPr>
        <w:t>原因为人员减少。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六、关于一般公共预算基本支出情况表（部门经济科目）的说明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年一般公共预算基本支出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、工资福利支出</w:t>
      </w:r>
      <w:r>
        <w:rPr>
          <w:rFonts w:ascii="仿宋_GB2312" w:hAnsi="黑体" w:eastAsia="仿宋_GB2312"/>
          <w:bCs/>
          <w:sz w:val="32"/>
          <w:szCs w:val="32"/>
        </w:rPr>
        <w:t>65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万元，主要包括：基本工资</w:t>
      </w:r>
      <w:r>
        <w:rPr>
          <w:rFonts w:ascii="仿宋_GB2312" w:hAnsi="黑体" w:eastAsia="仿宋_GB2312"/>
          <w:bCs/>
          <w:sz w:val="32"/>
          <w:szCs w:val="32"/>
        </w:rPr>
        <w:t>32</w:t>
      </w:r>
      <w:r>
        <w:rPr>
          <w:rFonts w:hint="eastAsia" w:ascii="仿宋_GB2312" w:hAnsi="黑体" w:eastAsia="仿宋_GB2312"/>
          <w:bCs/>
          <w:sz w:val="32"/>
          <w:szCs w:val="32"/>
        </w:rPr>
        <w:t>万元、津贴补贴</w:t>
      </w:r>
      <w:r>
        <w:rPr>
          <w:rFonts w:ascii="仿宋_GB2312" w:hAnsi="黑体" w:eastAsia="仿宋_GB2312"/>
          <w:bCs/>
          <w:sz w:val="32"/>
          <w:szCs w:val="32"/>
        </w:rPr>
        <w:t>28</w:t>
      </w:r>
      <w:r>
        <w:rPr>
          <w:rFonts w:hint="eastAsia" w:ascii="仿宋_GB2312" w:hAnsi="黑体" w:eastAsia="仿宋_GB2312"/>
          <w:bCs/>
          <w:sz w:val="32"/>
          <w:szCs w:val="32"/>
        </w:rPr>
        <w:t>万元、年终一次性奖金</w:t>
      </w:r>
      <w:r>
        <w:rPr>
          <w:rFonts w:ascii="仿宋_GB2312" w:hAnsi="黑体" w:eastAsia="仿宋_GB2312"/>
          <w:bCs/>
          <w:sz w:val="32"/>
          <w:szCs w:val="32"/>
        </w:rPr>
        <w:t>5</w:t>
      </w:r>
      <w:r>
        <w:rPr>
          <w:rFonts w:hint="eastAsia" w:ascii="仿宋_GB2312" w:hAnsi="黑体" w:eastAsia="仿宋_GB2312"/>
          <w:bCs/>
          <w:sz w:val="32"/>
          <w:szCs w:val="32"/>
        </w:rPr>
        <w:t>万元、基本养老保险</w:t>
      </w:r>
      <w:r>
        <w:rPr>
          <w:rFonts w:ascii="仿宋_GB2312" w:hAnsi="黑体" w:eastAsia="仿宋_GB2312"/>
          <w:bCs/>
          <w:sz w:val="32"/>
          <w:szCs w:val="32"/>
        </w:rPr>
        <w:t>12.4</w:t>
      </w:r>
      <w:r>
        <w:rPr>
          <w:rFonts w:hint="eastAsia" w:ascii="仿宋_GB2312" w:hAnsi="黑体" w:eastAsia="仿宋_GB2312"/>
          <w:bCs/>
          <w:sz w:val="32"/>
          <w:szCs w:val="32"/>
        </w:rPr>
        <w:t>万元、其他社会保障缴费</w:t>
      </w:r>
      <w:r>
        <w:rPr>
          <w:rFonts w:ascii="仿宋_GB2312" w:hAnsi="黑体" w:eastAsia="仿宋_GB2312"/>
          <w:bCs/>
          <w:sz w:val="32"/>
          <w:szCs w:val="32"/>
        </w:rPr>
        <w:t>7.4</w:t>
      </w:r>
      <w:r>
        <w:rPr>
          <w:rFonts w:hint="eastAsia" w:ascii="仿宋_GB2312" w:hAnsi="黑体" w:eastAsia="仿宋_GB2312"/>
          <w:bCs/>
          <w:sz w:val="32"/>
          <w:szCs w:val="32"/>
        </w:rPr>
        <w:t>万元、住房公积金</w:t>
      </w:r>
      <w:r>
        <w:rPr>
          <w:rFonts w:ascii="仿宋_GB2312" w:hAnsi="黑体" w:eastAsia="仿宋_GB2312"/>
          <w:bCs/>
          <w:sz w:val="32"/>
          <w:szCs w:val="32"/>
        </w:rPr>
        <w:t>6.3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、按定额管理的商品服务支出</w:t>
      </w:r>
      <w:r>
        <w:rPr>
          <w:rFonts w:ascii="仿宋_GB2312" w:hAnsi="黑体" w:eastAsia="仿宋_GB2312"/>
          <w:bCs/>
          <w:sz w:val="32"/>
          <w:szCs w:val="32"/>
        </w:rPr>
        <w:t>10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hint="eastAsia" w:eastAsia="仿宋_GB2312"/>
          <w:sz w:val="32"/>
          <w:szCs w:val="32"/>
        </w:rPr>
        <w:t>办公费</w:t>
      </w:r>
      <w:r>
        <w:rPr>
          <w:rFonts w:ascii="仿宋_GB2312" w:hAnsi="黑体" w:eastAsia="仿宋_GB2312"/>
          <w:bCs/>
          <w:sz w:val="32"/>
          <w:szCs w:val="32"/>
        </w:rPr>
        <w:t>10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、对个人和家庭补助支出</w:t>
      </w:r>
      <w:r>
        <w:rPr>
          <w:rFonts w:ascii="仿宋_GB2312" w:hAnsi="黑体" w:eastAsia="仿宋_GB2312"/>
          <w:bCs/>
          <w:sz w:val="32"/>
          <w:szCs w:val="32"/>
        </w:rPr>
        <w:t>2.4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hint="eastAsia" w:eastAsia="仿宋_GB2312"/>
          <w:sz w:val="32"/>
          <w:szCs w:val="32"/>
        </w:rPr>
        <w:t>离休费支出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、退休费支出</w:t>
      </w:r>
      <w:r>
        <w:rPr>
          <w:rFonts w:ascii="仿宋_GB2312" w:hAnsi="黑体" w:eastAsia="仿宋_GB2312"/>
          <w:bCs/>
          <w:sz w:val="32"/>
          <w:szCs w:val="32"/>
        </w:rPr>
        <w:t>2.4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、抚恤金支出</w:t>
      </w:r>
      <w:r>
        <w:rPr>
          <w:rFonts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七、关于一般公共预算支出情况表（政府经济科目）的说明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年一般公共预算支出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、机关工资福利支出</w:t>
      </w:r>
      <w:r>
        <w:rPr>
          <w:rFonts w:ascii="仿宋_GB2312" w:hAnsi="黑体" w:eastAsia="仿宋_GB2312"/>
          <w:bCs/>
          <w:sz w:val="32"/>
          <w:szCs w:val="32"/>
        </w:rPr>
        <w:t>96.1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万元，主要包括：工资津补贴</w:t>
      </w:r>
      <w:r>
        <w:rPr>
          <w:rFonts w:ascii="仿宋_GB2312" w:hAnsi="黑体" w:eastAsia="仿宋_GB2312"/>
          <w:bCs/>
          <w:sz w:val="32"/>
          <w:szCs w:val="32"/>
        </w:rPr>
        <w:t>65</w:t>
      </w:r>
      <w:r>
        <w:rPr>
          <w:rFonts w:hint="eastAsia" w:ascii="仿宋_GB2312" w:hAnsi="黑体" w:eastAsia="仿宋_GB2312"/>
          <w:bCs/>
          <w:sz w:val="32"/>
          <w:szCs w:val="32"/>
        </w:rPr>
        <w:t>万元、社会保障缴费</w:t>
      </w:r>
      <w:r>
        <w:rPr>
          <w:rFonts w:ascii="仿宋_GB2312" w:hAnsi="黑体" w:eastAsia="仿宋_GB2312"/>
          <w:bCs/>
          <w:sz w:val="32"/>
          <w:szCs w:val="32"/>
        </w:rPr>
        <w:t>12.4</w:t>
      </w:r>
      <w:r>
        <w:rPr>
          <w:rFonts w:hint="eastAsia" w:ascii="仿宋_GB2312" w:hAnsi="黑体" w:eastAsia="仿宋_GB2312"/>
          <w:bCs/>
          <w:sz w:val="32"/>
          <w:szCs w:val="32"/>
        </w:rPr>
        <w:t>万元、住房公积金</w:t>
      </w:r>
      <w:r>
        <w:rPr>
          <w:rFonts w:ascii="仿宋_GB2312" w:hAnsi="黑体" w:eastAsia="仿宋_GB2312"/>
          <w:bCs/>
          <w:sz w:val="32"/>
          <w:szCs w:val="32"/>
        </w:rPr>
        <w:t>6.3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、机关商品服务支出</w:t>
      </w:r>
      <w:r>
        <w:rPr>
          <w:rFonts w:ascii="仿宋_GB2312" w:hAnsi="黑体" w:eastAsia="仿宋_GB2312"/>
          <w:bCs/>
          <w:sz w:val="32"/>
          <w:szCs w:val="32"/>
        </w:rPr>
        <w:t>10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万元，主要包括：办公经费</w:t>
      </w:r>
      <w:r>
        <w:rPr>
          <w:rFonts w:ascii="仿宋_GB2312" w:hAnsi="黑体" w:eastAsia="仿宋_GB2312"/>
          <w:bCs/>
          <w:sz w:val="32"/>
          <w:szCs w:val="32"/>
        </w:rPr>
        <w:t>10</w:t>
      </w:r>
      <w:r>
        <w:rPr>
          <w:rFonts w:hint="eastAsia" w:ascii="仿宋_GB2312" w:hAnsi="黑体" w:eastAsia="仿宋_GB2312"/>
          <w:bCs/>
          <w:sz w:val="32"/>
          <w:szCs w:val="32"/>
        </w:rPr>
        <w:t>万元、会议费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万元、培训费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万元；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八、关于政府性基金预算支出情况表（功能科目）的说明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岭东区司法局无政府性基金支出，与上年一致。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九、关于政府性基金预算支出情况表（部门经济科目）的说明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岭东区司法局无政府性基金支出，与上年一致。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十、关于政府性基金预算支出情况表（政府经济科目）的说明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岭东区司法局无政府性基金支出，与上年一致。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十一、关于一般公共预算“三公”经费支出表的说明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岭东区司法局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年“三公”经费预算数为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万元，其中：因公出国（境）费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万元，公务用车购置费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万元，公务用车运行费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万元，公务接待费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万元，</w:t>
      </w:r>
      <w:r>
        <w:rPr>
          <w:rFonts w:hint="eastAsia" w:ascii="仿宋_GB2312" w:hAnsi="黑体" w:eastAsia="仿宋_GB2312"/>
          <w:bCs/>
          <w:sz w:val="32"/>
          <w:szCs w:val="32"/>
        </w:rPr>
        <w:t>比上年预算数增加（减少）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万元，与上年一致。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二</w:t>
      </w:r>
      <w:bookmarkStart w:id="1" w:name="_GoBack"/>
      <w:bookmarkEnd w:id="1"/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、机关运行经费安排情况说明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</w:rPr>
        <w:t>2019</w:t>
      </w:r>
      <w:r>
        <w:rPr>
          <w:rFonts w:hint="eastAsia" w:eastAsia="仿宋_GB2312"/>
          <w:kern w:val="0"/>
          <w:sz w:val="32"/>
          <w:szCs w:val="32"/>
          <w:lang w:val="zh-CN"/>
        </w:rPr>
        <w:t>年本部门机关运行经费预算安排</w:t>
      </w:r>
      <w:r>
        <w:rPr>
          <w:rFonts w:ascii="仿宋_GB2312" w:hAnsi="黑体" w:eastAsia="仿宋_GB2312"/>
          <w:bCs/>
          <w:sz w:val="32"/>
          <w:szCs w:val="32"/>
        </w:rPr>
        <w:t>10</w:t>
      </w:r>
      <w:r>
        <w:rPr>
          <w:rFonts w:hint="eastAsia" w:eastAsia="仿宋_GB2312"/>
          <w:kern w:val="0"/>
          <w:sz w:val="32"/>
          <w:szCs w:val="32"/>
          <w:lang w:val="zh-CN"/>
        </w:rPr>
        <w:t>万元，其中：</w:t>
      </w:r>
      <w:r>
        <w:rPr>
          <w:rFonts w:hint="eastAsia" w:eastAsia="仿宋_GB2312"/>
          <w:sz w:val="32"/>
          <w:szCs w:val="32"/>
        </w:rPr>
        <w:t>办公费</w:t>
      </w:r>
      <w:r>
        <w:rPr>
          <w:rFonts w:ascii="仿宋_GB2312" w:hAnsi="黑体" w:eastAsia="仿宋_GB2312"/>
          <w:bCs/>
          <w:sz w:val="32"/>
          <w:szCs w:val="32"/>
        </w:rPr>
        <w:t>10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、印刷费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、差旅费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、会议费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、福利费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、日常维修费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、专用材料及一般设备设置费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、办公用房水电费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、办公用房取暖费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、办公用房物业管理费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、公务用车运行维护费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以及其他费用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  <w:lang w:val="zh-CN"/>
        </w:rPr>
        <w:t>比</w:t>
      </w:r>
      <w:r>
        <w:rPr>
          <w:rFonts w:hint="eastAsia" w:eastAsia="仿宋_GB2312"/>
          <w:bCs/>
          <w:sz w:val="32"/>
          <w:szCs w:val="32"/>
        </w:rPr>
        <w:t>上年</w:t>
      </w:r>
      <w:r>
        <w:rPr>
          <w:rFonts w:hint="eastAsia" w:ascii="仿宋_GB2312" w:hAnsi="黑体" w:eastAsia="仿宋_GB2312"/>
          <w:bCs/>
          <w:sz w:val="32"/>
          <w:szCs w:val="32"/>
        </w:rPr>
        <w:t>预算数</w:t>
      </w:r>
      <w:r>
        <w:rPr>
          <w:rFonts w:hint="eastAsia" w:eastAsia="仿宋_GB2312"/>
          <w:kern w:val="0"/>
          <w:sz w:val="32"/>
          <w:szCs w:val="32"/>
          <w:lang w:val="zh-CN"/>
        </w:rPr>
        <w:t>增加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hint="eastAsia" w:eastAsia="仿宋_GB2312"/>
          <w:kern w:val="0"/>
          <w:sz w:val="32"/>
          <w:szCs w:val="32"/>
          <w:lang w:val="zh-CN"/>
        </w:rPr>
        <w:t>万元，增长</w:t>
      </w:r>
      <w:r>
        <w:rPr>
          <w:rFonts w:eastAsia="仿宋_GB2312"/>
          <w:kern w:val="0"/>
          <w:sz w:val="32"/>
          <w:szCs w:val="32"/>
        </w:rPr>
        <w:t>66.66</w:t>
      </w:r>
      <w:r>
        <w:rPr>
          <w:rFonts w:eastAsia="仿宋_GB2312"/>
          <w:kern w:val="0"/>
          <w:sz w:val="32"/>
          <w:szCs w:val="32"/>
          <w:lang w:val="zh-CN"/>
        </w:rPr>
        <w:t>%</w:t>
      </w:r>
      <w:r>
        <w:rPr>
          <w:rFonts w:hint="eastAsia" w:eastAsia="仿宋_GB2312"/>
          <w:kern w:val="0"/>
          <w:sz w:val="32"/>
          <w:szCs w:val="32"/>
          <w:lang w:val="zh-CN"/>
        </w:rPr>
        <w:t>。</w:t>
      </w:r>
      <w:r>
        <w:rPr>
          <w:rFonts w:hint="eastAsia" w:eastAsia="仿宋_GB2312"/>
          <w:sz w:val="32"/>
          <w:szCs w:val="32"/>
        </w:rPr>
        <w:t>原因为人员增加。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、关于政府采购预算支出情况说明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年岭东区司法局采购预算总额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、关于国有资产占有使用情况说明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截止</w:t>
      </w:r>
      <w:r>
        <w:rPr>
          <w:rFonts w:ascii="仿宋_GB2312" w:hAnsi="黑体" w:eastAsia="仿宋_GB2312"/>
          <w:bCs/>
          <w:sz w:val="32"/>
          <w:szCs w:val="32"/>
        </w:rPr>
        <w:t>2018</w:t>
      </w:r>
      <w:r>
        <w:rPr>
          <w:rFonts w:hint="eastAsia" w:ascii="仿宋_GB2312" w:hAnsi="黑体" w:eastAsia="仿宋_GB2312"/>
          <w:bCs/>
          <w:sz w:val="32"/>
          <w:szCs w:val="32"/>
        </w:rPr>
        <w:t>年</w:t>
      </w:r>
      <w:r>
        <w:rPr>
          <w:rFonts w:ascii="仿宋_GB2312" w:hAnsi="黑体" w:eastAsia="仿宋_GB2312"/>
          <w:bCs/>
          <w:sz w:val="32"/>
          <w:szCs w:val="32"/>
        </w:rPr>
        <w:t>12</w:t>
      </w:r>
      <w:r>
        <w:rPr>
          <w:rFonts w:hint="eastAsia" w:ascii="仿宋_GB2312" w:hAnsi="黑体" w:eastAsia="仿宋_GB2312"/>
          <w:bCs/>
          <w:sz w:val="32"/>
          <w:szCs w:val="32"/>
        </w:rPr>
        <w:t>月，岭东区司法局共有房屋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85</w:t>
      </w:r>
      <w:r>
        <w:rPr>
          <w:rFonts w:hint="eastAsia" w:ascii="仿宋_GB2312" w:hAnsi="黑体" w:eastAsia="仿宋_GB2312"/>
          <w:bCs/>
          <w:sz w:val="32"/>
          <w:szCs w:val="32"/>
        </w:rPr>
        <w:t>平方米</w:t>
      </w:r>
      <w:r>
        <w:rPr>
          <w:rFonts w:ascii="仿宋_GB2312" w:hAnsi="黑体" w:eastAsia="仿宋_GB2312"/>
          <w:bCs/>
          <w:sz w:val="32"/>
          <w:szCs w:val="32"/>
        </w:rPr>
        <w:t>,</w:t>
      </w:r>
      <w:r>
        <w:rPr>
          <w:rFonts w:hint="eastAsia" w:ascii="仿宋_GB2312" w:hAnsi="黑体" w:eastAsia="仿宋_GB2312"/>
          <w:bCs/>
          <w:sz w:val="32"/>
          <w:szCs w:val="32"/>
        </w:rPr>
        <w:t>其中：办公用房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85</w:t>
      </w:r>
      <w:r>
        <w:rPr>
          <w:rFonts w:hint="eastAsia" w:ascii="仿宋_GB2312" w:hAnsi="黑体" w:eastAsia="仿宋_GB2312"/>
          <w:bCs/>
          <w:sz w:val="32"/>
          <w:szCs w:val="32"/>
        </w:rPr>
        <w:t>平方米，业务用房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平方米，其他用房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平方米。共有车辆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台，其中：一般公务用车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台，一般执法执勤用车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台，特种专业技术用车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台，其他车辆</w:t>
      </w: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台。共有单位价值</w:t>
      </w:r>
      <w:r>
        <w:rPr>
          <w:rFonts w:ascii="仿宋_GB2312" w:hAnsi="黑体" w:eastAsia="仿宋_GB2312"/>
          <w:bCs/>
          <w:sz w:val="32"/>
          <w:szCs w:val="32"/>
        </w:rPr>
        <w:t>50</w:t>
      </w:r>
      <w:r>
        <w:rPr>
          <w:rFonts w:hint="eastAsia" w:ascii="仿宋_GB2312" w:hAnsi="黑体" w:eastAsia="仿宋_GB2312"/>
          <w:bCs/>
          <w:sz w:val="32"/>
          <w:szCs w:val="32"/>
        </w:rPr>
        <w:t>万元以上设备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台，其中：单位价值</w:t>
      </w:r>
      <w:r>
        <w:rPr>
          <w:rFonts w:ascii="仿宋_GB2312" w:hAnsi="黑体" w:eastAsia="仿宋_GB2312"/>
          <w:bCs/>
          <w:sz w:val="32"/>
          <w:szCs w:val="32"/>
        </w:rPr>
        <w:t>100</w:t>
      </w:r>
      <w:r>
        <w:rPr>
          <w:rFonts w:hint="eastAsia" w:ascii="仿宋_GB2312" w:hAnsi="黑体" w:eastAsia="仿宋_GB2312"/>
          <w:bCs/>
          <w:sz w:val="32"/>
          <w:szCs w:val="32"/>
        </w:rPr>
        <w:t>万元以上设备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台。其他资产</w:t>
      </w:r>
      <w:r>
        <w:rPr>
          <w:rFonts w:ascii="仿宋_GB2312" w:hAnsi="黑体" w:eastAsia="仿宋_GB2312"/>
          <w:bCs/>
          <w:sz w:val="32"/>
          <w:szCs w:val="32"/>
        </w:rPr>
        <w:t>24</w:t>
      </w:r>
      <w:r>
        <w:rPr>
          <w:rFonts w:hint="eastAsia" w:ascii="仿宋_GB2312" w:hAnsi="黑体" w:eastAsia="仿宋_GB2312"/>
          <w:bCs/>
          <w:sz w:val="32"/>
          <w:szCs w:val="32"/>
        </w:rPr>
        <w:t>个。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、关于行政事业性项目和专项资金绩效目标的说明</w:t>
      </w:r>
    </w:p>
    <w:p>
      <w:pPr>
        <w:pStyle w:val="9"/>
        <w:spacing w:line="360" w:lineRule="auto"/>
        <w:ind w:firstLine="640" w:firstLineChars="200"/>
        <w:jc w:val="both"/>
        <w:rPr>
          <w:rFonts w:ascii="仿宋_GB2312" w:hAnsi="黑体" w:eastAsia="仿宋_GB2312"/>
          <w:bCs/>
          <w:color w:val="auto"/>
          <w:kern w:val="2"/>
          <w:sz w:val="32"/>
          <w:szCs w:val="32"/>
        </w:rPr>
      </w:pP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</w:rPr>
        <w:t>年岭东区司法局无实行绩效目标管理的项目。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第四部分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名词解释</w:t>
      </w:r>
    </w:p>
    <w:p>
      <w:pPr>
        <w:pStyle w:val="7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主要对收入项目、支出项目、支出科目、预算绩效管理和绩效目标进行解释说明，收入和支出项目按公开当年部门预算编制手册中定义进行解释，科目名称按公开当年政府收支分类科目中定义进行解释。</w:t>
      </w:r>
    </w:p>
    <w:p>
      <w:pPr>
        <w:snapToGrid w:val="0"/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</w:t>
      </w:r>
      <w:r>
        <w:rPr>
          <w:rFonts w:hint="eastAsia" w:ascii="仿宋_GB2312" w:hAnsi="Calibri" w:eastAsia="仿宋_GB2312"/>
          <w:sz w:val="32"/>
          <w:szCs w:val="32"/>
        </w:rPr>
        <w:t>预算绩效管理：是以财政支出结果为导向，将绩效管理理念和方法贯穿于预算编制、执行、监督和信息公开全过程，并实现“预算编制有目标、预算执行有监控、预算完成有评价、评价结果有反馈、反馈结果有应用”的预算管理模式，是政府绩效管理的重要组成部分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color w:val="FF66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绩效目标：是预算绩效管理对象计划在一定期限内达到的产出和效果，包括产出指标、效益指标和服务对象满意度指标，是绩效执行监控、绩效自评价和再评价等预算绩效管理工作的前提和基础。</w:t>
      </w:r>
    </w:p>
    <w:p>
      <w:pPr>
        <w:pStyle w:val="7"/>
        <w:spacing w:line="360" w:lineRule="auto"/>
        <w:ind w:firstLine="640"/>
        <w:rPr>
          <w:rFonts w:ascii="仿宋_GB2312" w:hAnsi="Times New Roman" w:eastAsia="仿宋_GB2312"/>
          <w:sz w:val="32"/>
          <w:szCs w:val="32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9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4163446">
    <w:nsid w:val="63311E76"/>
    <w:multiLevelType w:val="multilevel"/>
    <w:tmpl w:val="63311E76"/>
    <w:lvl w:ilvl="0" w:tentative="1">
      <w:start w:val="7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16641634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7B61"/>
    <w:rsid w:val="00075F46"/>
    <w:rsid w:val="00094A2C"/>
    <w:rsid w:val="000B3582"/>
    <w:rsid w:val="000B717F"/>
    <w:rsid w:val="00103B98"/>
    <w:rsid w:val="00175EA5"/>
    <w:rsid w:val="001D24A1"/>
    <w:rsid w:val="001D2E2D"/>
    <w:rsid w:val="00233E01"/>
    <w:rsid w:val="002A753D"/>
    <w:rsid w:val="003068CE"/>
    <w:rsid w:val="00337E38"/>
    <w:rsid w:val="003803BC"/>
    <w:rsid w:val="003B7A70"/>
    <w:rsid w:val="00444671"/>
    <w:rsid w:val="00486ACF"/>
    <w:rsid w:val="004C4729"/>
    <w:rsid w:val="005372DF"/>
    <w:rsid w:val="00585289"/>
    <w:rsid w:val="00595BFE"/>
    <w:rsid w:val="005D4B75"/>
    <w:rsid w:val="005E3917"/>
    <w:rsid w:val="005E6878"/>
    <w:rsid w:val="005F0FFB"/>
    <w:rsid w:val="00645050"/>
    <w:rsid w:val="006658A2"/>
    <w:rsid w:val="006729F3"/>
    <w:rsid w:val="00676329"/>
    <w:rsid w:val="00676CF9"/>
    <w:rsid w:val="006B5078"/>
    <w:rsid w:val="006C50F9"/>
    <w:rsid w:val="006E3E0B"/>
    <w:rsid w:val="00727B61"/>
    <w:rsid w:val="007431D4"/>
    <w:rsid w:val="007778E1"/>
    <w:rsid w:val="007967BB"/>
    <w:rsid w:val="007A1053"/>
    <w:rsid w:val="007C5104"/>
    <w:rsid w:val="007C7D30"/>
    <w:rsid w:val="007D6334"/>
    <w:rsid w:val="00811E86"/>
    <w:rsid w:val="00825949"/>
    <w:rsid w:val="008454BD"/>
    <w:rsid w:val="00883EFA"/>
    <w:rsid w:val="008A3E20"/>
    <w:rsid w:val="009405B7"/>
    <w:rsid w:val="00975451"/>
    <w:rsid w:val="009B754A"/>
    <w:rsid w:val="009C59FA"/>
    <w:rsid w:val="00A521CD"/>
    <w:rsid w:val="00AF021D"/>
    <w:rsid w:val="00B33BC1"/>
    <w:rsid w:val="00B802A0"/>
    <w:rsid w:val="00BA2965"/>
    <w:rsid w:val="00BF53A0"/>
    <w:rsid w:val="00C0419C"/>
    <w:rsid w:val="00C75FB1"/>
    <w:rsid w:val="00CC0E19"/>
    <w:rsid w:val="00D273F8"/>
    <w:rsid w:val="00D51C5F"/>
    <w:rsid w:val="00DD212E"/>
    <w:rsid w:val="00E057F4"/>
    <w:rsid w:val="00E17535"/>
    <w:rsid w:val="00E72BA5"/>
    <w:rsid w:val="00EE5E52"/>
    <w:rsid w:val="00F22C08"/>
    <w:rsid w:val="253C10A2"/>
    <w:rsid w:val="49591216"/>
    <w:rsid w:val="67C33887"/>
    <w:rsid w:val="7A8A7F0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 w:locked="1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1"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paragraph" w:customStyle="1" w:styleId="7">
    <w:name w:val="样式"/>
    <w:basedOn w:val="1"/>
    <w:next w:val="8"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  <w:style w:type="paragraph" w:customStyle="1" w:styleId="9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4"/>
    <w:link w:val="3"/>
    <w:semiHidden/>
    <w:locked/>
    <w:uiPriority w:val="99"/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552</Words>
  <Characters>3147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2019-01-21T02:43:00Z</dcterms:created>
  <dc:creator>张佚名</dc:creator>
  <cp:lastModifiedBy>Administrator</cp:lastModifiedBy>
  <dcterms:modified xsi:type="dcterms:W3CDTF">2019-03-08T01:33:06Z</dcterms:modified>
  <dc:title>××部门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