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360" w:lineRule="auto"/>
        <w:jc w:val="both"/>
        <w:rPr>
          <w:rFonts w:hint="eastAsia" w:ascii="黑体" w:hAnsi="黑体" w:eastAsia="黑体"/>
          <w:b/>
          <w:bCs/>
          <w:sz w:val="84"/>
          <w:szCs w:val="84"/>
          <w:lang w:eastAsia="zh-CN"/>
        </w:rPr>
      </w:pPr>
      <w:r>
        <w:rPr>
          <w:rFonts w:hint="eastAsia" w:ascii="黑体" w:hAnsi="黑体" w:eastAsia="黑体"/>
          <w:b/>
          <w:bCs/>
          <w:sz w:val="84"/>
          <w:szCs w:val="84"/>
          <w:lang w:eastAsia="zh-CN"/>
        </w:rPr>
        <w:t>双鸭山市岭东区医院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  <w:lang w:eastAsia="zh-CN"/>
        </w:rPr>
        <w:t>2019</w:t>
      </w:r>
      <w:r>
        <w:rPr>
          <w:rFonts w:hint="eastAsia" w:ascii="黑体" w:hAnsi="黑体" w:eastAsia="黑体"/>
          <w:b/>
          <w:bCs/>
          <w:sz w:val="84"/>
          <w:szCs w:val="84"/>
        </w:rPr>
        <w:t>年</w:t>
      </w:r>
      <w:r>
        <w:rPr>
          <w:rFonts w:ascii="黑体" w:hAnsi="黑体" w:eastAsia="黑体"/>
          <w:b/>
          <w:bCs/>
          <w:sz w:val="84"/>
          <w:szCs w:val="84"/>
        </w:rPr>
        <w:t>部门预算</w:t>
      </w:r>
    </w:p>
    <w:p>
      <w:pPr>
        <w:widowControl/>
        <w:spacing w:line="360" w:lineRule="auto"/>
        <w:ind w:firstLine="640" w:firstLineChars="200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目    录</w:t>
      </w:r>
    </w:p>
    <w:p>
      <w:pPr>
        <w:widowControl/>
        <w:spacing w:line="360" w:lineRule="auto"/>
        <w:rPr>
          <w:rFonts w:hint="eastAsia" w:ascii="黑体" w:eastAsia="黑体" w:cs="黑体"/>
          <w:kern w:val="0"/>
          <w:sz w:val="36"/>
          <w:szCs w:val="36"/>
        </w:rPr>
      </w:pPr>
    </w:p>
    <w:p>
      <w:pPr>
        <w:widowControl/>
        <w:spacing w:line="360" w:lineRule="auto"/>
        <w:rPr>
          <w:rFonts w:hint="eastAsia" w:ascii="黑体" w:eastAsia="黑体" w:cs="黑体"/>
          <w:kern w:val="0"/>
          <w:sz w:val="36"/>
          <w:szCs w:val="36"/>
        </w:rPr>
      </w:pPr>
      <w:r>
        <w:rPr>
          <w:rFonts w:hint="eastAsia" w:ascii="黑体" w:eastAsia="黑体" w:cs="黑体"/>
          <w:kern w:val="0"/>
          <w:sz w:val="36"/>
          <w:szCs w:val="36"/>
        </w:rPr>
        <w:t>第一部分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hint="eastAsia" w:ascii="黑体" w:eastAsia="黑体" w:cs="黑体"/>
          <w:kern w:val="0"/>
          <w:sz w:val="36"/>
          <w:szCs w:val="36"/>
          <w:lang w:eastAsia="zh-CN"/>
        </w:rPr>
        <w:t>岭东区医院</w:t>
      </w:r>
      <w:r>
        <w:rPr>
          <w:rFonts w:ascii="黑体" w:eastAsia="黑体" w:cs="黑体"/>
          <w:kern w:val="0"/>
          <w:sz w:val="36"/>
          <w:szCs w:val="36"/>
        </w:rPr>
        <w:t>部门</w:t>
      </w:r>
      <w:r>
        <w:rPr>
          <w:rFonts w:hint="eastAsia" w:ascii="黑体" w:eastAsia="黑体" w:cs="黑体"/>
          <w:kern w:val="0"/>
          <w:sz w:val="36"/>
          <w:szCs w:val="36"/>
        </w:rPr>
        <w:t>概况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一、部门职责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二、部门机构设置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三、部门人员构成</w:t>
      </w:r>
    </w:p>
    <w:p>
      <w:pPr>
        <w:widowControl/>
        <w:spacing w:line="360" w:lineRule="auto"/>
        <w:rPr>
          <w:rFonts w:hint="eastAsia" w:ascii="黑体" w:eastAsia="黑体" w:cs="黑体"/>
          <w:kern w:val="0"/>
          <w:sz w:val="36"/>
          <w:szCs w:val="36"/>
        </w:rPr>
      </w:pPr>
      <w:r>
        <w:rPr>
          <w:rFonts w:hint="eastAsia" w:ascii="黑体" w:eastAsia="黑体" w:cs="黑体"/>
          <w:kern w:val="0"/>
          <w:sz w:val="36"/>
          <w:szCs w:val="36"/>
        </w:rPr>
        <w:t xml:space="preserve">第二部分 </w:t>
      </w:r>
      <w:r>
        <w:rPr>
          <w:rFonts w:hint="eastAsia" w:ascii="黑体" w:eastAsia="黑体" w:cs="黑体"/>
          <w:kern w:val="0"/>
          <w:sz w:val="36"/>
          <w:szCs w:val="36"/>
          <w:lang w:eastAsia="zh-CN"/>
        </w:rPr>
        <w:t>岭东区医院2019</w:t>
      </w:r>
      <w:r>
        <w:rPr>
          <w:rFonts w:hint="eastAsia" w:ascii="黑体" w:eastAsia="黑体" w:cs="黑体"/>
          <w:kern w:val="0"/>
          <w:sz w:val="36"/>
          <w:szCs w:val="36"/>
        </w:rPr>
        <w:t>年部门预算报表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一、部门收支总体情况表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二、部门收入总体情况表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三、部门支出总体情况表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四、财政拨款收支总体情况表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五、一般公共预算支出情况表（功能科目）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六、一般公共预算基本支出情况表（部门经济科目）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七、一般公共预算支出情况表（政府经济科目）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八、政府性基金预算支出情况表（功能科目）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九、政府性基金预算支出情况表（部门经济科目）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十、政府性基金预算支出情况表（政府经济科目）</w:t>
      </w:r>
    </w:p>
    <w:p>
      <w:pPr>
        <w:widowControl/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十一、一般公共预算“三公”经费支出情况表。</w:t>
      </w:r>
    </w:p>
    <w:p>
      <w:pPr>
        <w:widowControl/>
        <w:spacing w:line="360" w:lineRule="auto"/>
        <w:rPr>
          <w:rFonts w:hint="eastAsia" w:ascii="黑体" w:eastAsia="黑体" w:cs="黑体"/>
          <w:kern w:val="0"/>
          <w:sz w:val="36"/>
          <w:szCs w:val="36"/>
        </w:rPr>
      </w:pPr>
      <w:r>
        <w:rPr>
          <w:rFonts w:hint="eastAsia" w:ascii="黑体" w:eastAsia="黑体" w:cs="黑体"/>
          <w:kern w:val="0"/>
          <w:sz w:val="36"/>
          <w:szCs w:val="36"/>
        </w:rPr>
        <w:t>第三部分</w:t>
      </w:r>
      <w:r>
        <w:rPr>
          <w:rFonts w:hint="eastAsia" w:ascii="黑体" w:eastAsia="黑体" w:cs="黑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 w:cs="黑体"/>
          <w:kern w:val="0"/>
          <w:sz w:val="36"/>
          <w:szCs w:val="36"/>
          <w:lang w:eastAsia="zh-CN"/>
        </w:rPr>
        <w:t>岭东区医院2019</w:t>
      </w:r>
      <w:r>
        <w:rPr>
          <w:rFonts w:hint="eastAsia" w:ascii="黑体" w:eastAsia="黑体" w:cs="黑体"/>
          <w:kern w:val="0"/>
          <w:sz w:val="36"/>
          <w:szCs w:val="36"/>
        </w:rPr>
        <w:t>年部门预算情况说明</w:t>
      </w:r>
    </w:p>
    <w:p>
      <w:pPr>
        <w:widowControl/>
        <w:spacing w:line="360" w:lineRule="auto"/>
        <w:rPr>
          <w:rFonts w:hint="eastAsia" w:ascii="黑体" w:eastAsia="黑体" w:cs="黑体"/>
          <w:kern w:val="0"/>
          <w:sz w:val="36"/>
          <w:szCs w:val="36"/>
        </w:rPr>
      </w:pPr>
      <w:r>
        <w:rPr>
          <w:rFonts w:hint="eastAsia" w:ascii="黑体" w:eastAsia="黑体" w:cs="黑体"/>
          <w:kern w:val="0"/>
          <w:sz w:val="36"/>
          <w:szCs w:val="36"/>
        </w:rPr>
        <w:t>第四部分 名词解释</w:t>
      </w:r>
    </w:p>
    <w:p>
      <w:pPr>
        <w:widowControl/>
        <w:spacing w:line="360" w:lineRule="auto"/>
        <w:jc w:val="center"/>
        <w:rPr>
          <w:rFonts w:hint="eastAsia" w:eastAsia="仿宋_GB2312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第一部分    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岭东区医院</w:t>
      </w:r>
      <w:r>
        <w:rPr>
          <w:rFonts w:hint="eastAsia" w:ascii="黑体" w:hAnsi="黑体" w:eastAsia="黑体"/>
          <w:bCs/>
          <w:sz w:val="32"/>
          <w:szCs w:val="32"/>
        </w:rPr>
        <w:t>部门概况</w:t>
      </w:r>
    </w:p>
    <w:p>
      <w:pPr>
        <w:widowControl/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360" w:lineRule="auto"/>
        <w:ind w:firstLine="643" w:firstLineChars="200"/>
        <w:rPr>
          <w:rFonts w:hint="eastAsia"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部门职责</w:t>
      </w:r>
    </w:p>
    <w:p>
      <w:pPr>
        <w:widowControl/>
        <w:numPr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全区各种常见病、多发病的防护和各类疾病的医疗工作；定期开展义诊和医疗扶贫活动；负责辖区传染病防治、儿童计划免疫接种及市政系统学校计划免疫接种；开展社区医疗服务，进行健康咨询、婚前检查、疾病普查等工作；负责全区执行医疗保险制度的机关、事业单位人员就医工作。承办区委、区政府及上级业务部门交办的其他事项。</w:t>
      </w:r>
    </w:p>
    <w:p>
      <w:pPr>
        <w:widowControl/>
        <w:spacing w:line="360" w:lineRule="auto"/>
        <w:ind w:firstLine="643" w:firstLineChars="200"/>
        <w:rPr>
          <w:rFonts w:hint="eastAsia"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二、部门机构设置</w:t>
      </w:r>
    </w:p>
    <w:p>
      <w:pPr>
        <w:widowControl/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</w:t>
      </w:r>
      <w:r>
        <w:rPr>
          <w:rFonts w:hint="eastAsia" w:ascii="仿宋_GB2312" w:hAnsi="黑体" w:eastAsia="仿宋_GB2312"/>
          <w:bCs/>
          <w:sz w:val="32"/>
          <w:szCs w:val="32"/>
        </w:rPr>
        <w:t>部门预算是包括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</w:t>
      </w:r>
      <w:r>
        <w:rPr>
          <w:rFonts w:hint="eastAsia" w:ascii="仿宋_GB2312" w:hAnsi="黑体" w:eastAsia="仿宋_GB2312"/>
          <w:bCs/>
          <w:sz w:val="32"/>
          <w:szCs w:val="32"/>
        </w:rPr>
        <w:t>以及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长胜乡卫生院两</w:t>
      </w:r>
      <w:r>
        <w:rPr>
          <w:rFonts w:hint="eastAsia" w:ascii="仿宋_GB2312" w:hAnsi="黑体" w:eastAsia="仿宋_GB2312"/>
          <w:bCs/>
          <w:sz w:val="32"/>
          <w:szCs w:val="32"/>
        </w:rPr>
        <w:t>家预算单位的综合收支计划。本部门中，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岭东区医院一</w:t>
      </w:r>
      <w:r>
        <w:rPr>
          <w:rFonts w:hint="eastAsia" w:ascii="仿宋_GB2312" w:hAnsi="黑体" w:eastAsia="仿宋_GB2312"/>
          <w:bCs/>
          <w:sz w:val="32"/>
          <w:szCs w:val="32"/>
        </w:rPr>
        <w:t>家，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长胜乡卫生院一</w:t>
      </w:r>
      <w:r>
        <w:rPr>
          <w:rFonts w:hint="eastAsia" w:ascii="仿宋_GB2312" w:hAnsi="黑体" w:eastAsia="仿宋_GB2312"/>
          <w:bCs/>
          <w:sz w:val="32"/>
          <w:szCs w:val="32"/>
        </w:rPr>
        <w:t>家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具体情况如下：</w:t>
      </w:r>
    </w:p>
    <w:tbl>
      <w:tblPr>
        <w:tblStyle w:val="5"/>
        <w:tblW w:w="82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605"/>
        <w:gridCol w:w="2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460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276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黑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单位性质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605" w:type="dxa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eastAsia="zh-CN"/>
              </w:rPr>
              <w:t>岭东区医院</w:t>
            </w: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765" w:type="dxa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黑体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eastAsia="zh-CN"/>
              </w:rPr>
              <w:t>事业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605" w:type="dxa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黑体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eastAsia="zh-CN"/>
              </w:rPr>
              <w:t>长胜乡卫生院</w:t>
            </w:r>
          </w:p>
        </w:tc>
        <w:tc>
          <w:tcPr>
            <w:tcW w:w="2765" w:type="dxa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黑体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  <w:lang w:eastAsia="zh-CN"/>
              </w:rPr>
              <w:t>事业</w:t>
            </w:r>
          </w:p>
        </w:tc>
      </w:tr>
    </w:tbl>
    <w:p>
      <w:pPr>
        <w:widowControl/>
        <w:spacing w:line="360" w:lineRule="auto"/>
        <w:ind w:firstLine="643" w:firstLineChars="200"/>
        <w:rPr>
          <w:rFonts w:hint="eastAsia"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三、部门人员构成</w:t>
      </w:r>
    </w:p>
    <w:p>
      <w:pPr>
        <w:widowControl/>
        <w:spacing w:line="360" w:lineRule="auto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</w:t>
      </w:r>
      <w:r>
        <w:rPr>
          <w:rFonts w:hint="eastAsia" w:ascii="仿宋_GB2312" w:hAnsi="黑体" w:eastAsia="仿宋_GB2312"/>
          <w:bCs/>
          <w:sz w:val="32"/>
          <w:szCs w:val="32"/>
        </w:rPr>
        <w:t>部门总编制人数，在职实有人数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58</w:t>
      </w:r>
      <w:r>
        <w:rPr>
          <w:rFonts w:hint="eastAsia" w:ascii="仿宋_GB2312" w:hAnsi="黑体" w:eastAsia="仿宋_GB2312"/>
          <w:bCs/>
          <w:sz w:val="32"/>
          <w:szCs w:val="32"/>
        </w:rPr>
        <w:t>人，其中：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事业编制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58</w:t>
      </w:r>
      <w:r>
        <w:rPr>
          <w:rFonts w:hint="eastAsia" w:ascii="仿宋_GB2312" w:hAnsi="黑体" w:eastAsia="仿宋_GB2312"/>
          <w:bCs/>
          <w:sz w:val="32"/>
          <w:szCs w:val="32"/>
        </w:rPr>
        <w:t>人；退休人员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75</w:t>
      </w:r>
      <w:r>
        <w:rPr>
          <w:rFonts w:hint="eastAsia" w:ascii="仿宋_GB2312" w:hAnsi="黑体" w:eastAsia="仿宋_GB2312"/>
          <w:bCs/>
          <w:sz w:val="32"/>
          <w:szCs w:val="32"/>
        </w:rPr>
        <w:t>人。与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2018</w:t>
      </w:r>
      <w:r>
        <w:rPr>
          <w:rFonts w:hint="eastAsia" w:ascii="仿宋_GB2312" w:hAnsi="黑体" w:eastAsia="仿宋_GB2312"/>
          <w:bCs/>
          <w:sz w:val="32"/>
          <w:szCs w:val="32"/>
        </w:rPr>
        <w:t>年对比，退休人员增加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人。</w:t>
      </w:r>
    </w:p>
    <w:p>
      <w:pPr>
        <w:widowControl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第二部分    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岭东区医院</w:t>
      </w:r>
      <w:r>
        <w:rPr>
          <w:rFonts w:ascii="黑体" w:hAnsi="黑体" w:eastAsia="黑体"/>
          <w:bCs/>
          <w:sz w:val="32"/>
          <w:szCs w:val="32"/>
        </w:rPr>
        <w:t>部门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2019</w:t>
      </w:r>
      <w:r>
        <w:rPr>
          <w:rFonts w:ascii="黑体" w:hAnsi="黑体" w:eastAsia="黑体"/>
          <w:bCs/>
          <w:sz w:val="32"/>
          <w:szCs w:val="32"/>
        </w:rPr>
        <w:t>年部门预算</w:t>
      </w:r>
      <w:r>
        <w:rPr>
          <w:rFonts w:hint="eastAsia" w:ascii="黑体" w:hAnsi="黑体" w:eastAsia="黑体"/>
          <w:bCs/>
          <w:sz w:val="32"/>
          <w:szCs w:val="32"/>
        </w:rPr>
        <w:t>公开报</w:t>
      </w:r>
      <w:r>
        <w:rPr>
          <w:rFonts w:ascii="黑体" w:hAnsi="黑体" w:eastAsia="黑体"/>
          <w:bCs/>
          <w:sz w:val="32"/>
          <w:szCs w:val="32"/>
        </w:rPr>
        <w:t>表</w:t>
      </w:r>
    </w:p>
    <w:p>
      <w:pPr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</w:t>
      </w:r>
      <w:bookmarkStart w:id="0" w:name="OLE_LINK1"/>
      <w:r>
        <w:rPr>
          <w:rFonts w:eastAsia="仿宋_GB2312"/>
          <w:kern w:val="0"/>
          <w:sz w:val="32"/>
          <w:szCs w:val="32"/>
        </w:rPr>
        <w:t>部门</w:t>
      </w:r>
      <w:r>
        <w:rPr>
          <w:rFonts w:hint="eastAsia" w:eastAsia="仿宋_GB2312"/>
          <w:kern w:val="0"/>
          <w:sz w:val="32"/>
          <w:szCs w:val="32"/>
        </w:rPr>
        <w:t>收支总体情况表</w:t>
      </w:r>
      <w:bookmarkEnd w:id="0"/>
    </w:p>
    <w:p>
      <w:pPr>
        <w:spacing w:line="360" w:lineRule="auto"/>
        <w:ind w:left="64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二、</w:t>
      </w:r>
      <w:r>
        <w:rPr>
          <w:rFonts w:eastAsia="仿宋_GB2312"/>
          <w:kern w:val="0"/>
          <w:sz w:val="32"/>
          <w:szCs w:val="32"/>
        </w:rPr>
        <w:t>部门收入</w:t>
      </w:r>
      <w:r>
        <w:rPr>
          <w:rFonts w:hint="eastAsia" w:eastAsia="仿宋_GB2312"/>
          <w:kern w:val="0"/>
          <w:sz w:val="32"/>
          <w:szCs w:val="32"/>
        </w:rPr>
        <w:t>总体情况表</w:t>
      </w:r>
    </w:p>
    <w:p>
      <w:pPr>
        <w:spacing w:line="360" w:lineRule="auto"/>
        <w:ind w:left="64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三、</w:t>
      </w:r>
      <w:r>
        <w:rPr>
          <w:rFonts w:eastAsia="仿宋_GB2312"/>
          <w:kern w:val="0"/>
          <w:sz w:val="32"/>
          <w:szCs w:val="32"/>
        </w:rPr>
        <w:t>部门支出</w:t>
      </w:r>
      <w:r>
        <w:rPr>
          <w:rFonts w:hint="eastAsia" w:eastAsia="仿宋_GB2312"/>
          <w:kern w:val="0"/>
          <w:sz w:val="32"/>
          <w:szCs w:val="32"/>
        </w:rPr>
        <w:t>总体情况表</w:t>
      </w:r>
    </w:p>
    <w:p>
      <w:pPr>
        <w:spacing w:line="360" w:lineRule="auto"/>
        <w:ind w:left="64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四、</w:t>
      </w:r>
      <w:r>
        <w:rPr>
          <w:rFonts w:eastAsia="仿宋_GB2312"/>
          <w:kern w:val="0"/>
          <w:sz w:val="32"/>
          <w:szCs w:val="32"/>
        </w:rPr>
        <w:t>财政拨款收支</w:t>
      </w:r>
      <w:r>
        <w:rPr>
          <w:rFonts w:hint="eastAsia" w:eastAsia="仿宋_GB2312"/>
          <w:kern w:val="0"/>
          <w:sz w:val="32"/>
          <w:szCs w:val="32"/>
        </w:rPr>
        <w:t>总体情况表</w:t>
      </w:r>
    </w:p>
    <w:p>
      <w:pPr>
        <w:spacing w:line="360" w:lineRule="auto"/>
        <w:ind w:left="64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五、</w:t>
      </w:r>
      <w:r>
        <w:rPr>
          <w:rFonts w:eastAsia="仿宋_GB2312"/>
          <w:kern w:val="0"/>
          <w:sz w:val="32"/>
          <w:szCs w:val="32"/>
        </w:rPr>
        <w:t>一般公共预算支出</w:t>
      </w:r>
      <w:r>
        <w:rPr>
          <w:rFonts w:hint="eastAsia" w:eastAsia="仿宋_GB2312"/>
          <w:kern w:val="0"/>
          <w:sz w:val="32"/>
          <w:szCs w:val="32"/>
        </w:rPr>
        <w:t>情况</w:t>
      </w:r>
      <w:r>
        <w:rPr>
          <w:rFonts w:eastAsia="仿宋_GB2312"/>
          <w:kern w:val="0"/>
          <w:sz w:val="32"/>
          <w:szCs w:val="32"/>
        </w:rPr>
        <w:t>表</w:t>
      </w: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功能</w:t>
      </w:r>
      <w:r>
        <w:rPr>
          <w:rFonts w:hint="eastAsia" w:eastAsia="仿宋_GB2312"/>
          <w:kern w:val="0"/>
          <w:sz w:val="32"/>
          <w:szCs w:val="32"/>
        </w:rPr>
        <w:t>科目）</w:t>
      </w:r>
    </w:p>
    <w:p>
      <w:pPr>
        <w:spacing w:line="360" w:lineRule="auto"/>
        <w:ind w:left="64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六、</w:t>
      </w:r>
      <w:r>
        <w:rPr>
          <w:rFonts w:eastAsia="仿宋_GB2312"/>
          <w:kern w:val="0"/>
          <w:sz w:val="32"/>
          <w:szCs w:val="32"/>
        </w:rPr>
        <w:t>一般公共预算</w:t>
      </w:r>
      <w:r>
        <w:rPr>
          <w:rFonts w:hint="eastAsia" w:eastAsia="仿宋_GB2312"/>
          <w:kern w:val="0"/>
          <w:sz w:val="32"/>
          <w:szCs w:val="32"/>
        </w:rPr>
        <w:t>基本</w:t>
      </w:r>
      <w:r>
        <w:rPr>
          <w:rFonts w:eastAsia="仿宋_GB2312"/>
          <w:kern w:val="0"/>
          <w:sz w:val="32"/>
          <w:szCs w:val="32"/>
        </w:rPr>
        <w:t>支出</w:t>
      </w:r>
      <w:r>
        <w:rPr>
          <w:rFonts w:hint="eastAsia" w:eastAsia="仿宋_GB2312"/>
          <w:kern w:val="0"/>
          <w:sz w:val="32"/>
          <w:szCs w:val="32"/>
        </w:rPr>
        <w:t>情况</w:t>
      </w:r>
      <w:r>
        <w:rPr>
          <w:rFonts w:eastAsia="仿宋_GB2312"/>
          <w:kern w:val="0"/>
          <w:sz w:val="32"/>
          <w:szCs w:val="32"/>
        </w:rPr>
        <w:t>表</w:t>
      </w: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部门</w:t>
      </w:r>
      <w:r>
        <w:rPr>
          <w:rFonts w:hint="eastAsia" w:eastAsia="仿宋_GB2312"/>
          <w:kern w:val="0"/>
          <w:sz w:val="32"/>
          <w:szCs w:val="32"/>
        </w:rPr>
        <w:t>经济科目）</w:t>
      </w:r>
    </w:p>
    <w:p>
      <w:pPr>
        <w:numPr>
          <w:ilvl w:val="0"/>
          <w:numId w:val="2"/>
        </w:numPr>
        <w:spacing w:line="360" w:lineRule="auto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一般公共预算支出</w:t>
      </w:r>
      <w:r>
        <w:rPr>
          <w:rFonts w:hint="eastAsia" w:eastAsia="仿宋_GB2312"/>
          <w:kern w:val="0"/>
          <w:sz w:val="32"/>
          <w:szCs w:val="32"/>
        </w:rPr>
        <w:t>情况</w:t>
      </w:r>
      <w:r>
        <w:rPr>
          <w:rFonts w:eastAsia="仿宋_GB2312"/>
          <w:kern w:val="0"/>
          <w:sz w:val="32"/>
          <w:szCs w:val="32"/>
        </w:rPr>
        <w:t>表</w:t>
      </w:r>
      <w:r>
        <w:rPr>
          <w:rFonts w:hint="eastAsia" w:eastAsia="仿宋_GB2312"/>
          <w:kern w:val="0"/>
          <w:sz w:val="32"/>
          <w:szCs w:val="32"/>
        </w:rPr>
        <w:t>（政府经济科目）</w:t>
      </w:r>
    </w:p>
    <w:p>
      <w:pPr>
        <w:numPr>
          <w:ilvl w:val="0"/>
          <w:numId w:val="2"/>
        </w:numPr>
        <w:spacing w:line="360" w:lineRule="auto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政府性基金预算支出</w:t>
      </w:r>
      <w:r>
        <w:rPr>
          <w:rFonts w:hint="eastAsia" w:eastAsia="仿宋_GB2312"/>
          <w:kern w:val="0"/>
          <w:sz w:val="32"/>
          <w:szCs w:val="32"/>
        </w:rPr>
        <w:t>情况</w:t>
      </w:r>
      <w:r>
        <w:rPr>
          <w:rFonts w:eastAsia="仿宋_GB2312"/>
          <w:kern w:val="0"/>
          <w:sz w:val="32"/>
          <w:szCs w:val="32"/>
        </w:rPr>
        <w:t>表</w:t>
      </w: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功能</w:t>
      </w:r>
      <w:r>
        <w:rPr>
          <w:rFonts w:hint="eastAsia" w:eastAsia="仿宋_GB2312"/>
          <w:kern w:val="0"/>
          <w:sz w:val="32"/>
          <w:szCs w:val="32"/>
        </w:rPr>
        <w:t>科目）</w:t>
      </w:r>
    </w:p>
    <w:p>
      <w:pPr>
        <w:numPr>
          <w:ilvl w:val="0"/>
          <w:numId w:val="2"/>
        </w:numPr>
        <w:spacing w:line="360" w:lineRule="auto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政府性基金预算支出</w:t>
      </w:r>
      <w:r>
        <w:rPr>
          <w:rFonts w:hint="eastAsia" w:eastAsia="仿宋_GB2312"/>
          <w:kern w:val="0"/>
          <w:sz w:val="32"/>
          <w:szCs w:val="32"/>
        </w:rPr>
        <w:t>情况</w:t>
      </w:r>
      <w:r>
        <w:rPr>
          <w:rFonts w:eastAsia="仿宋_GB2312"/>
          <w:kern w:val="0"/>
          <w:sz w:val="32"/>
          <w:szCs w:val="32"/>
        </w:rPr>
        <w:t>表</w:t>
      </w: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部门</w:t>
      </w:r>
      <w:r>
        <w:rPr>
          <w:rFonts w:hint="eastAsia" w:eastAsia="仿宋_GB2312"/>
          <w:kern w:val="0"/>
          <w:sz w:val="32"/>
          <w:szCs w:val="32"/>
        </w:rPr>
        <w:t>经济科目）</w:t>
      </w:r>
    </w:p>
    <w:p>
      <w:pPr>
        <w:widowControl/>
        <w:numPr>
          <w:ilvl w:val="0"/>
          <w:numId w:val="2"/>
        </w:numPr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政府性基金预算支出情况表（政府经济科目）</w:t>
      </w:r>
    </w:p>
    <w:p>
      <w:pPr>
        <w:widowControl/>
        <w:numPr>
          <w:ilvl w:val="0"/>
          <w:numId w:val="2"/>
        </w:numPr>
        <w:spacing w:line="360" w:lineRule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一般公共预算“三公”经费支出情况表。</w:t>
      </w:r>
    </w:p>
    <w:p>
      <w:pPr>
        <w:widowControl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第三部分    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岭东区医院2019</w:t>
      </w:r>
      <w:r>
        <w:rPr>
          <w:rFonts w:ascii="黑体" w:hAnsi="黑体" w:eastAsia="黑体"/>
          <w:bCs/>
          <w:sz w:val="32"/>
          <w:szCs w:val="32"/>
        </w:rPr>
        <w:t>年</w:t>
      </w:r>
    </w:p>
    <w:p>
      <w:pPr>
        <w:widowControl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部门预算情况说明</w:t>
      </w:r>
    </w:p>
    <w:p>
      <w:pPr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一、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</w:rPr>
        <w:t>部门收支总体情况表</w:t>
      </w:r>
      <w:r>
        <w:rPr>
          <w:rFonts w:ascii="黑体" w:hAnsi="黑体" w:eastAsia="黑体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岭东区医院2019</w:t>
      </w:r>
      <w:r>
        <w:rPr>
          <w:rFonts w:hint="eastAsia" w:ascii="仿宋_GB2312" w:hAnsi="黑体" w:eastAsia="仿宋_GB2312"/>
          <w:bCs/>
          <w:sz w:val="32"/>
          <w:szCs w:val="32"/>
        </w:rPr>
        <w:t>年收支总预算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917</w:t>
      </w:r>
      <w:r>
        <w:rPr>
          <w:rFonts w:hint="eastAsia" w:ascii="仿宋_GB2312" w:hAnsi="黑体" w:eastAsia="仿宋_GB2312"/>
          <w:bCs/>
          <w:sz w:val="32"/>
          <w:szCs w:val="32"/>
        </w:rPr>
        <w:t>万元，比上年预算数减少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75</w:t>
      </w:r>
      <w:r>
        <w:rPr>
          <w:rFonts w:hint="eastAsia" w:ascii="仿宋_GB2312" w:hAnsi="黑体" w:eastAsia="仿宋_GB2312"/>
          <w:bCs/>
          <w:sz w:val="32"/>
          <w:szCs w:val="32"/>
        </w:rPr>
        <w:t>万元。收入包括：一般公共预算收入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917万元</w:t>
      </w:r>
      <w:r>
        <w:rPr>
          <w:rFonts w:hint="eastAsia" w:ascii="仿宋_GB2312" w:hAnsi="黑体" w:eastAsia="仿宋_GB2312"/>
          <w:bCs/>
          <w:sz w:val="32"/>
          <w:szCs w:val="32"/>
        </w:rPr>
        <w:t>、政府性基金收入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0万元</w:t>
      </w:r>
      <w:r>
        <w:rPr>
          <w:rFonts w:hint="eastAsia" w:ascii="仿宋_GB2312" w:hAnsi="黑体" w:eastAsia="仿宋_GB2312"/>
          <w:bCs/>
          <w:sz w:val="32"/>
          <w:szCs w:val="32"/>
        </w:rPr>
        <w:t>、国有资本经营收入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0万元</w:t>
      </w:r>
      <w:r>
        <w:rPr>
          <w:rFonts w:hint="eastAsia" w:ascii="仿宋_GB2312" w:hAnsi="黑体" w:eastAsia="仿宋_GB2312"/>
          <w:bCs/>
          <w:sz w:val="32"/>
          <w:szCs w:val="32"/>
        </w:rPr>
        <w:t>、财政专户资金收入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0万元</w:t>
      </w:r>
      <w:r>
        <w:rPr>
          <w:rFonts w:hint="eastAsia" w:ascii="仿宋_GB2312" w:hAnsi="黑体" w:eastAsia="仿宋_GB2312"/>
          <w:bCs/>
          <w:sz w:val="32"/>
          <w:szCs w:val="32"/>
        </w:rPr>
        <w:t>、事业收入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0万元</w:t>
      </w:r>
      <w:r>
        <w:rPr>
          <w:rFonts w:hint="eastAsia" w:ascii="仿宋_GB2312" w:hAnsi="黑体" w:eastAsia="仿宋_GB2312"/>
          <w:bCs/>
          <w:sz w:val="32"/>
          <w:szCs w:val="32"/>
        </w:rPr>
        <w:t>、事业单位经营收入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0万元</w:t>
      </w:r>
      <w:r>
        <w:rPr>
          <w:rFonts w:hint="eastAsia" w:ascii="仿宋_GB2312" w:hAnsi="黑体" w:eastAsia="仿宋_GB2312"/>
          <w:bCs/>
          <w:sz w:val="32"/>
          <w:szCs w:val="32"/>
        </w:rPr>
        <w:t>、其它收入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0万元</w:t>
      </w:r>
      <w:r>
        <w:rPr>
          <w:rFonts w:hint="eastAsia" w:ascii="仿宋_GB2312" w:hAnsi="黑体" w:eastAsia="仿宋_GB2312"/>
          <w:bCs/>
          <w:sz w:val="32"/>
          <w:szCs w:val="32"/>
        </w:rPr>
        <w:t>；支出包括：社会保障和就业支出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243万元，医疗卫生与计划生育支出674万元。</w:t>
      </w:r>
      <w:r>
        <w:rPr>
          <w:rFonts w:hint="eastAsia" w:eastAsia="仿宋_GB2312"/>
          <w:kern w:val="0"/>
          <w:sz w:val="32"/>
          <w:szCs w:val="32"/>
          <w:lang w:val="zh-CN"/>
        </w:rPr>
        <w:t>按照综合预算的原则，岭东区医院</w:t>
      </w:r>
      <w:r>
        <w:rPr>
          <w:rFonts w:hint="eastAsia" w:ascii="仿宋_GB2312" w:hAnsi="黑体" w:eastAsia="仿宋_GB2312"/>
          <w:bCs/>
          <w:sz w:val="32"/>
          <w:szCs w:val="32"/>
        </w:rPr>
        <w:t>部门所有收入和支出均纳入部门预算管理。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二、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部门收入总体情况表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</w:t>
      </w:r>
      <w:r>
        <w:rPr>
          <w:rFonts w:hint="eastAsia" w:ascii="仿宋_GB2312" w:hAnsi="黑体" w:eastAsia="仿宋_GB2312"/>
          <w:bCs/>
          <w:sz w:val="32"/>
          <w:szCs w:val="32"/>
        </w:rPr>
        <w:t>部门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年收入预算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917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万元，其中：一般公共预算收入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917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100</w:t>
      </w:r>
      <w:r>
        <w:rPr>
          <w:rFonts w:hint="eastAsia" w:ascii="仿宋_GB2312" w:hAnsi="黑体" w:eastAsia="仿宋_GB2312"/>
          <w:bCs/>
          <w:sz w:val="32"/>
          <w:szCs w:val="32"/>
        </w:rPr>
        <w:t>%；政府性基金收入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%；国有资本经营收入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%；财政专户资金收入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%；事业收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%；事业单位经营收入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%；其它收入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%。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三、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部门支出总体情况表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</w:t>
      </w:r>
      <w:r>
        <w:rPr>
          <w:rFonts w:hint="eastAsia" w:ascii="仿宋_GB2312" w:hAnsi="黑体" w:eastAsia="仿宋_GB2312"/>
          <w:bCs/>
          <w:sz w:val="32"/>
          <w:szCs w:val="32"/>
        </w:rPr>
        <w:t>部门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年支出预算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917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万元，其中：基本支出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917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100</w:t>
      </w:r>
      <w:r>
        <w:rPr>
          <w:rFonts w:hint="eastAsia" w:ascii="仿宋_GB2312" w:hAnsi="黑体" w:eastAsia="仿宋_GB2312"/>
          <w:bCs/>
          <w:sz w:val="32"/>
          <w:szCs w:val="32"/>
        </w:rPr>
        <w:t>%；项目支出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%；上缴上级支出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%；事业单位经营支出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%；对附属单位补助支出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万元，占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%。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四、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财政拨款收支总体情况表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岭东区医院2019</w:t>
      </w:r>
      <w:r>
        <w:rPr>
          <w:rFonts w:hint="eastAsia" w:ascii="仿宋_GB2312" w:hAnsi="黑体" w:eastAsia="仿宋_GB2312"/>
          <w:bCs/>
          <w:sz w:val="32"/>
          <w:szCs w:val="32"/>
        </w:rPr>
        <w:t>年财政拨款收支总预算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917</w:t>
      </w:r>
      <w:r>
        <w:rPr>
          <w:rFonts w:hint="eastAsia" w:ascii="仿宋_GB2312" w:hAnsi="黑体" w:eastAsia="仿宋_GB2312"/>
          <w:bCs/>
          <w:sz w:val="32"/>
          <w:szCs w:val="32"/>
        </w:rPr>
        <w:t>万元。收入包括：一般公共预算收入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917</w:t>
      </w:r>
      <w:r>
        <w:rPr>
          <w:rFonts w:hint="eastAsia" w:ascii="仿宋_GB2312" w:hAnsi="黑体" w:eastAsia="仿宋_GB2312"/>
          <w:bCs/>
          <w:sz w:val="32"/>
          <w:szCs w:val="32"/>
        </w:rPr>
        <w:t>万元，政府性基金收入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万元，国有资本经营收入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万元。支出包括：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医疗卫生与计划生育支出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674万元，社会保障和就业支出243万元。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五、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一般公共预算支出情况表（功能科目）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岭东区医院2019</w:t>
      </w:r>
      <w:r>
        <w:rPr>
          <w:rFonts w:hint="eastAsia" w:ascii="仿宋_GB2312" w:hAnsi="黑体" w:eastAsia="仿宋_GB2312"/>
          <w:bCs/>
          <w:sz w:val="32"/>
          <w:szCs w:val="32"/>
        </w:rPr>
        <w:t>年一般公共预算支出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917</w:t>
      </w:r>
      <w:r>
        <w:rPr>
          <w:rFonts w:hint="eastAsia" w:ascii="仿宋_GB2312" w:hAnsi="黑体" w:eastAsia="仿宋_GB2312"/>
          <w:bCs/>
          <w:sz w:val="32"/>
          <w:szCs w:val="32"/>
        </w:rPr>
        <w:t>万元，比上年预算数减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少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75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医疗卫生与计划生育支出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674万元，比上年减少51万元，主要原因是减少支出。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社会保障和就业支出243万元，比上年减少24万元，主要原因是退休工资归到社保。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ascii="黑体" w:hAnsi="黑体" w:eastAsia="黑体"/>
          <w:color w:val="2B2B2B"/>
          <w:kern w:val="0"/>
          <w:sz w:val="32"/>
          <w:szCs w:val="32"/>
        </w:rPr>
        <w:t>六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一般公共预算基本支出情况表（部门经济科目）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岭东区医院2019</w:t>
      </w:r>
      <w:r>
        <w:rPr>
          <w:rFonts w:hint="eastAsia" w:ascii="仿宋_GB2312" w:hAnsi="黑体" w:eastAsia="仿宋_GB2312"/>
          <w:bCs/>
          <w:sz w:val="32"/>
          <w:szCs w:val="32"/>
        </w:rPr>
        <w:t>年一般公共预算基本支出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917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1、工资福利支出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594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万元，主要包括：基本工资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229</w:t>
      </w:r>
      <w:r>
        <w:rPr>
          <w:rFonts w:hint="eastAsia" w:ascii="仿宋_GB2312" w:hAnsi="黑体" w:eastAsia="仿宋_GB2312"/>
          <w:bCs/>
          <w:sz w:val="32"/>
          <w:szCs w:val="32"/>
        </w:rPr>
        <w:t>万元、津贴补贴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212</w:t>
      </w:r>
      <w:r>
        <w:rPr>
          <w:rFonts w:hint="eastAsia" w:ascii="仿宋_GB2312" w:hAnsi="黑体" w:eastAsia="仿宋_GB2312"/>
          <w:bCs/>
          <w:sz w:val="32"/>
          <w:szCs w:val="32"/>
        </w:rPr>
        <w:t>万元、年终一次性奖金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、基本养老保险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113万元、基本医疗保险5万元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2、按定额管理的商品服务支出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80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</w:t>
      </w:r>
      <w:r>
        <w:rPr>
          <w:rFonts w:eastAsia="仿宋_GB2312"/>
          <w:sz w:val="32"/>
          <w:szCs w:val="32"/>
        </w:rPr>
        <w:t>办公费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手续费</w:t>
      </w:r>
      <w:r>
        <w:rPr>
          <w:rFonts w:hint="eastAsia" w:eastAsia="仿宋_GB2312"/>
          <w:sz w:val="32"/>
          <w:szCs w:val="32"/>
          <w:lang w:val="en-US" w:eastAsia="zh-CN"/>
        </w:rPr>
        <w:t>5万元、办公</w:t>
      </w:r>
      <w:r>
        <w:rPr>
          <w:rFonts w:eastAsia="仿宋_GB2312"/>
          <w:sz w:val="32"/>
          <w:szCs w:val="32"/>
        </w:rPr>
        <w:t>水费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办公</w:t>
      </w:r>
      <w:r>
        <w:rPr>
          <w:rFonts w:eastAsia="仿宋_GB2312"/>
          <w:sz w:val="32"/>
          <w:szCs w:val="32"/>
        </w:rPr>
        <w:t>电费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、电话通讯费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5万元、国内差旅费5万元、一般维修费10万元、培训费8万元、公务车运行维护费8万元、其他交通费用8万元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3、离退休公用支出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</w:t>
      </w:r>
      <w:r>
        <w:rPr>
          <w:rFonts w:eastAsia="仿宋_GB2312"/>
          <w:sz w:val="32"/>
          <w:szCs w:val="32"/>
        </w:rPr>
        <w:t>离休人员特需费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、离休人员公用经费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和退休人员公用经费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4、职工体检费支出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5、对个人和家庭补助支出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243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</w:t>
      </w:r>
      <w:r>
        <w:rPr>
          <w:rFonts w:eastAsia="仿宋_GB2312"/>
          <w:sz w:val="32"/>
          <w:szCs w:val="32"/>
        </w:rPr>
        <w:t>离休费支出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、退休费支出</w:t>
      </w:r>
      <w:r>
        <w:rPr>
          <w:rFonts w:hint="eastAsia" w:eastAsia="仿宋_GB2312"/>
          <w:sz w:val="32"/>
          <w:szCs w:val="32"/>
          <w:lang w:val="en-US" w:eastAsia="zh-CN"/>
        </w:rPr>
        <w:t>243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、抚恤金支出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ascii="黑体" w:hAnsi="黑体" w:eastAsia="黑体"/>
          <w:color w:val="2B2B2B"/>
          <w:kern w:val="0"/>
          <w:sz w:val="32"/>
          <w:szCs w:val="32"/>
        </w:rPr>
        <w:t>七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一般公共预算支出情况表（政府经济科目）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岭东区医院2019</w:t>
      </w:r>
      <w:r>
        <w:rPr>
          <w:rFonts w:hint="eastAsia" w:ascii="仿宋_GB2312" w:hAnsi="黑体" w:eastAsia="仿宋_GB2312"/>
          <w:bCs/>
          <w:sz w:val="32"/>
          <w:szCs w:val="32"/>
        </w:rPr>
        <w:t>年一般公共预算支出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917</w:t>
      </w:r>
      <w:r>
        <w:rPr>
          <w:rFonts w:hint="eastAsia" w:ascii="仿宋_GB2312" w:hAnsi="黑体" w:eastAsia="仿宋_GB2312"/>
          <w:bCs/>
          <w:sz w:val="32"/>
          <w:szCs w:val="32"/>
        </w:rPr>
        <w:t>万元，其中：</w:t>
      </w:r>
    </w:p>
    <w:p>
      <w:pPr>
        <w:numPr>
          <w:ilvl w:val="0"/>
          <w:numId w:val="4"/>
        </w:num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对事业单位经常性补助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594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万元，主要包括：工资福利支出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594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，商品和服务支出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80万元。</w:t>
      </w:r>
    </w:p>
    <w:p>
      <w:pPr>
        <w:numPr>
          <w:numId w:val="0"/>
        </w:numPr>
        <w:spacing w:line="360" w:lineRule="auto"/>
        <w:rPr>
          <w:rFonts w:hint="eastAsia" w:ascii="仿宋_GB2312" w:hAnsi="黑体" w:eastAsia="仿宋_GB2312"/>
          <w:bCs/>
          <w:sz w:val="32"/>
          <w:szCs w:val="32"/>
          <w:lang w:val="en-US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bCs/>
          <w:sz w:val="32"/>
          <w:szCs w:val="32"/>
        </w:rPr>
        <w:t>2、对个人和家庭的补助支出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243</w:t>
      </w:r>
      <w:r>
        <w:rPr>
          <w:rFonts w:hint="eastAsia" w:ascii="仿宋_GB2312" w:hAnsi="黑体" w:eastAsia="仿宋_GB2312"/>
          <w:bCs/>
          <w:sz w:val="32"/>
          <w:szCs w:val="32"/>
        </w:rPr>
        <w:t>万元，主要包括：退休费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243</w:t>
      </w:r>
      <w:r>
        <w:rPr>
          <w:rFonts w:hint="eastAsia" w:ascii="仿宋_GB2312" w:hAnsi="黑体" w:eastAsia="仿宋_GB2312"/>
          <w:bCs/>
          <w:sz w:val="32"/>
          <w:szCs w:val="32"/>
        </w:rPr>
        <w:t>万元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ascii="黑体" w:hAnsi="黑体" w:eastAsia="黑体"/>
          <w:color w:val="2B2B2B"/>
          <w:kern w:val="0"/>
          <w:sz w:val="32"/>
          <w:szCs w:val="32"/>
        </w:rPr>
        <w:t>八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政府性基金预算支出情况表（功能科目）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2019年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无政府性基金预算支出</w:t>
      </w:r>
      <w:r>
        <w:rPr>
          <w:rFonts w:hint="eastAsia" w:ascii="仿宋" w:hAnsi="仿宋" w:eastAsia="仿宋" w:cs="仿宋"/>
          <w:color w:val="2B2B2B"/>
          <w:kern w:val="0"/>
          <w:sz w:val="32"/>
          <w:szCs w:val="32"/>
        </w:rPr>
        <w:t>（功能科目）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ascii="黑体" w:hAnsi="黑体" w:eastAsia="黑体"/>
          <w:color w:val="2B2B2B"/>
          <w:kern w:val="0"/>
          <w:sz w:val="32"/>
          <w:szCs w:val="32"/>
        </w:rPr>
        <w:t>九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政府性基金预算支出情况表（部门经济科目）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岭东区医院2019年无政府性基金预算支出（部门经济科目）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政府性基金预算支出情况表（政府经济科目）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岭东区医院2019年无政府性基金预算支出（政府经济科目）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一、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关于一般公共预算“三公”经费支出表的说明</w:t>
      </w:r>
    </w:p>
    <w:p>
      <w:pPr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岭东区医院2019</w:t>
      </w:r>
      <w:r>
        <w:rPr>
          <w:rFonts w:hint="eastAsia" w:ascii="仿宋_GB2312" w:hAnsi="黑体" w:eastAsia="仿宋_GB2312"/>
          <w:bCs/>
          <w:sz w:val="32"/>
          <w:szCs w:val="32"/>
        </w:rPr>
        <w:t>年“三公”经费预算数为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8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，其中：因公出国（境）费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，公务用车购置费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，公务用车运行费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，公务接待费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比上年预算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一致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机关运行经费安排情况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说明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2019</w:t>
      </w:r>
      <w:r>
        <w:rPr>
          <w:rFonts w:eastAsia="仿宋_GB2312"/>
          <w:kern w:val="0"/>
          <w:sz w:val="32"/>
          <w:szCs w:val="32"/>
          <w:lang w:val="zh-CN"/>
        </w:rPr>
        <w:t>年本部门机关运行经费预算安排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80</w:t>
      </w:r>
      <w:r>
        <w:rPr>
          <w:rFonts w:eastAsia="仿宋_GB2312"/>
          <w:kern w:val="0"/>
          <w:sz w:val="32"/>
          <w:szCs w:val="32"/>
          <w:lang w:val="zh-CN"/>
        </w:rPr>
        <w:t>万元，</w:t>
      </w:r>
      <w:r>
        <w:rPr>
          <w:rFonts w:hint="eastAsia" w:eastAsia="仿宋_GB2312"/>
          <w:kern w:val="0"/>
          <w:sz w:val="32"/>
          <w:szCs w:val="32"/>
          <w:lang w:val="zh-CN"/>
        </w:rPr>
        <w:t>其中：</w:t>
      </w:r>
      <w:r>
        <w:rPr>
          <w:rFonts w:eastAsia="仿宋_GB2312"/>
          <w:sz w:val="32"/>
          <w:szCs w:val="32"/>
        </w:rPr>
        <w:t>办公费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手续</w:t>
      </w:r>
      <w:r>
        <w:rPr>
          <w:rFonts w:eastAsia="仿宋_GB2312"/>
          <w:sz w:val="32"/>
          <w:szCs w:val="32"/>
        </w:rPr>
        <w:t>费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办公水费</w:t>
      </w:r>
      <w:r>
        <w:rPr>
          <w:rFonts w:hint="eastAsia" w:eastAsia="仿宋_GB2312"/>
          <w:sz w:val="32"/>
          <w:szCs w:val="32"/>
          <w:lang w:val="en-US" w:eastAsia="zh-CN"/>
        </w:rPr>
        <w:t>8万元、办公电费8万元、电话通讯费5万元、国内</w:t>
      </w:r>
      <w:r>
        <w:rPr>
          <w:rFonts w:eastAsia="仿宋_GB2312"/>
          <w:sz w:val="32"/>
          <w:szCs w:val="32"/>
        </w:rPr>
        <w:t>差旅费</w:t>
      </w:r>
      <w:r>
        <w:rPr>
          <w:rFonts w:hint="eastAsia" w:eastAsia="仿宋_GB2312"/>
          <w:sz w:val="32"/>
          <w:szCs w:val="32"/>
          <w:lang w:val="en-US" w:eastAsia="zh-CN"/>
        </w:rPr>
        <w:t>5万元、一般维修费10万元、培训费8万元、公务车运行维护费8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eastAsia="仿宋_GB2312"/>
          <w:sz w:val="32"/>
          <w:szCs w:val="32"/>
        </w:rPr>
        <w:t>、其他</w:t>
      </w:r>
      <w:r>
        <w:rPr>
          <w:rFonts w:hint="eastAsia" w:eastAsia="仿宋_GB2312"/>
          <w:sz w:val="32"/>
          <w:szCs w:val="32"/>
          <w:lang w:eastAsia="zh-CN"/>
        </w:rPr>
        <w:t>交通费用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  <w:lang w:val="zh-CN"/>
        </w:rPr>
        <w:t>比</w:t>
      </w:r>
      <w:r>
        <w:rPr>
          <w:rFonts w:hint="eastAsia" w:eastAsia="仿宋_GB2312"/>
          <w:bCs/>
          <w:sz w:val="32"/>
          <w:szCs w:val="32"/>
        </w:rPr>
        <w:t>上年</w:t>
      </w:r>
      <w:r>
        <w:rPr>
          <w:rFonts w:hint="eastAsia" w:ascii="仿宋_GB2312" w:hAnsi="黑体" w:eastAsia="仿宋_GB2312"/>
          <w:bCs/>
          <w:sz w:val="32"/>
          <w:szCs w:val="32"/>
        </w:rPr>
        <w:t>预算数</w:t>
      </w:r>
      <w:r>
        <w:rPr>
          <w:rFonts w:eastAsia="仿宋_GB2312"/>
          <w:kern w:val="0"/>
          <w:sz w:val="32"/>
          <w:szCs w:val="32"/>
          <w:lang w:val="zh-CN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kern w:val="0"/>
          <w:sz w:val="32"/>
          <w:szCs w:val="32"/>
          <w:lang w:val="zh-CN"/>
        </w:rPr>
        <w:t>万元，增长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9.5</w:t>
      </w:r>
      <w:r>
        <w:rPr>
          <w:rFonts w:eastAsia="仿宋_GB2312"/>
          <w:kern w:val="0"/>
          <w:sz w:val="32"/>
          <w:szCs w:val="32"/>
          <w:lang w:val="zh-CN"/>
        </w:rPr>
        <w:t>%。主要原因是：</w:t>
      </w:r>
      <w:r>
        <w:rPr>
          <w:rFonts w:hint="eastAsia" w:eastAsia="仿宋_GB2312"/>
          <w:kern w:val="0"/>
          <w:sz w:val="32"/>
          <w:szCs w:val="32"/>
          <w:lang w:val="zh-CN"/>
        </w:rPr>
        <w:t>患者增多，相对费用增多</w:t>
      </w:r>
      <w:r>
        <w:rPr>
          <w:rFonts w:eastAsia="仿宋_GB2312"/>
          <w:kern w:val="0"/>
          <w:sz w:val="32"/>
          <w:szCs w:val="32"/>
          <w:lang w:val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关于政府采购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预算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支出情况说明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</w:t>
      </w:r>
      <w:r>
        <w:rPr>
          <w:rFonts w:hint="eastAsia" w:ascii="仿宋_GB2312" w:hAnsi="黑体" w:eastAsia="仿宋_GB2312"/>
          <w:bCs/>
          <w:sz w:val="32"/>
          <w:szCs w:val="32"/>
        </w:rPr>
        <w:t>采购预算总额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，其中：政府采购货物预算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、政府采购工程预算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、政府采购服务预算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  <w:lang w:val="zh-CN"/>
        </w:rPr>
        <w:t>万元</w:t>
      </w:r>
      <w:r>
        <w:rPr>
          <w:rFonts w:hint="eastAsia" w:eastAsia="仿宋_GB2312"/>
          <w:kern w:val="0"/>
          <w:sz w:val="32"/>
          <w:szCs w:val="32"/>
          <w:lang w:val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关于国有资产占有使用情况说明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截止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2019</w:t>
      </w:r>
      <w:r>
        <w:rPr>
          <w:rFonts w:hint="eastAsia" w:ascii="仿宋_GB2312" w:hAnsi="黑体" w:eastAsia="仿宋_GB2312"/>
          <w:bCs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月，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岭东区医院</w:t>
      </w:r>
      <w:r>
        <w:rPr>
          <w:rFonts w:hint="eastAsia" w:ascii="仿宋_GB2312" w:hAnsi="黑体" w:eastAsia="仿宋_GB2312"/>
          <w:bCs/>
          <w:sz w:val="32"/>
          <w:szCs w:val="32"/>
        </w:rPr>
        <w:t>共有房屋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5611</w:t>
      </w:r>
      <w:r>
        <w:rPr>
          <w:rFonts w:hint="eastAsia" w:ascii="仿宋_GB2312" w:hAnsi="黑体" w:eastAsia="仿宋_GB2312"/>
          <w:bCs/>
          <w:sz w:val="32"/>
          <w:szCs w:val="32"/>
        </w:rPr>
        <w:t>平方米,其中：办公用房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800</w:t>
      </w:r>
      <w:r>
        <w:rPr>
          <w:rFonts w:hint="eastAsia" w:ascii="仿宋_GB2312" w:hAnsi="黑体" w:eastAsia="仿宋_GB2312"/>
          <w:bCs/>
          <w:sz w:val="32"/>
          <w:szCs w:val="32"/>
        </w:rPr>
        <w:t>平方米，业务用房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4811</w:t>
      </w:r>
      <w:r>
        <w:rPr>
          <w:rFonts w:hint="eastAsia" w:ascii="仿宋_GB2312" w:hAnsi="黑体" w:eastAsia="仿宋_GB2312"/>
          <w:bCs/>
          <w:sz w:val="32"/>
          <w:szCs w:val="32"/>
        </w:rPr>
        <w:t>平方米。共有车辆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台，其中：一般公务用车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台，特种专业技术用车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台。共有单位价值50万元以上设备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Cs/>
          <w:sz w:val="32"/>
          <w:szCs w:val="32"/>
        </w:rPr>
        <w:t>台，其中：单位价值100万元以上设备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bCs/>
          <w:sz w:val="32"/>
          <w:szCs w:val="32"/>
        </w:rPr>
        <w:t>台。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2B2B2B"/>
          <w:kern w:val="0"/>
          <w:sz w:val="32"/>
          <w:szCs w:val="32"/>
          <w:lang w:eastAsia="zh-CN"/>
        </w:rPr>
        <w:t>五</w:t>
      </w:r>
      <w:bookmarkStart w:id="1" w:name="_GoBack"/>
      <w:bookmarkEnd w:id="1"/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、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color w:val="2B2B2B"/>
          <w:kern w:val="0"/>
          <w:sz w:val="32"/>
          <w:szCs w:val="32"/>
        </w:rPr>
        <w:t>行政事业性项目和专项资金绩效目标的</w:t>
      </w:r>
      <w:r>
        <w:rPr>
          <w:rFonts w:ascii="黑体" w:hAnsi="黑体" w:eastAsia="黑体"/>
          <w:color w:val="2B2B2B"/>
          <w:kern w:val="0"/>
          <w:sz w:val="32"/>
          <w:szCs w:val="32"/>
        </w:rPr>
        <w:t>说明</w:t>
      </w:r>
    </w:p>
    <w:p>
      <w:pPr>
        <w:pStyle w:val="8"/>
        <w:spacing w:line="360" w:lineRule="auto"/>
        <w:ind w:firstLine="640" w:firstLineChars="200"/>
        <w:jc w:val="both"/>
        <w:rPr>
          <w:rFonts w:ascii="仿宋_GB2312" w:hAnsi="黑体" w:eastAsia="仿宋_GB2312"/>
          <w:bCs/>
          <w:color w:val="auto"/>
          <w:kern w:val="2"/>
          <w:sz w:val="32"/>
          <w:szCs w:val="32"/>
        </w:rPr>
      </w:pP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</w:rPr>
        <w:t>根据规定，</w:t>
      </w: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  <w:lang w:eastAsia="zh-CN"/>
        </w:rPr>
        <w:t>2019</w:t>
      </w: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  <w:lang w:eastAsia="zh-CN"/>
        </w:rPr>
        <w:t>岭东区</w:t>
      </w:r>
      <w:r>
        <w:rPr>
          <w:rFonts w:ascii="仿宋_GB2312" w:hAnsi="黑体" w:eastAsia="仿宋_GB2312"/>
          <w:bCs/>
          <w:color w:val="auto"/>
          <w:kern w:val="2"/>
          <w:sz w:val="32"/>
          <w:szCs w:val="32"/>
        </w:rPr>
        <w:t>实行绩效目标管理的项目</w:t>
      </w: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ascii="仿宋_GB2312" w:hAnsi="黑体" w:eastAsia="仿宋_GB2312"/>
          <w:bCs/>
          <w:color w:val="auto"/>
          <w:kern w:val="2"/>
          <w:sz w:val="32"/>
          <w:szCs w:val="32"/>
        </w:rPr>
        <w:t>个，涉及预算金额</w:t>
      </w:r>
      <w:r>
        <w:rPr>
          <w:rFonts w:hint="eastAsia" w:ascii="仿宋_GB2312" w:hAnsi="黑体" w:eastAsia="仿宋_GB2312"/>
          <w:bCs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ascii="仿宋_GB2312" w:hAnsi="黑体" w:eastAsia="仿宋_GB2312"/>
          <w:bCs/>
          <w:color w:val="auto"/>
          <w:kern w:val="2"/>
          <w:sz w:val="32"/>
          <w:szCs w:val="32"/>
        </w:rPr>
        <w:t>万元。</w:t>
      </w:r>
    </w:p>
    <w:p>
      <w:pPr>
        <w:autoSpaceDE w:val="0"/>
        <w:autoSpaceDN w:val="0"/>
        <w:spacing w:line="360" w:lineRule="auto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第四部分   名词解释</w:t>
      </w:r>
    </w:p>
    <w:p>
      <w:pPr>
        <w:pStyle w:val="6"/>
        <w:spacing w:line="36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主要对收入项目、支出项目、支出科目、预算绩效管理和绩效目标进行解释说明，收入和支出项目按公开当年部门预算编制手册中定义进行解释，科目名称按公开当年政府收支分类科目中定义进行解释。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其中：</w:t>
      </w:r>
      <w:r>
        <w:rPr>
          <w:rFonts w:hint="eastAsia" w:ascii="仿宋_GB2312" w:hAnsi="Calibri" w:eastAsia="仿宋_GB2312"/>
          <w:sz w:val="32"/>
          <w:szCs w:val="32"/>
        </w:rPr>
        <w:t>预算绩效管理：是以财政支出结果为导向，将绩效管理理念和方法贯穿于预算编制、执行、监督和信息公开全过程，并实现“预算编制有目标、预算执行有监控、预算完成有评价、评价结果有反馈、反馈结果有应用”的预算管理模式，是政府绩效管理的重要组成部分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color w:val="FF660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绩效目标：是预算绩效管理对象计划在一定期限内达到的产出和效果，包括产出指标、效益指标和服务对象满意度指标，是绩效执行监控、绩效自评价和再评价等预算绩效管理工作的前提和基础。</w:t>
      </w:r>
    </w:p>
    <w:p>
      <w:pPr>
        <w:pStyle w:val="6"/>
        <w:spacing w:line="360" w:lineRule="auto"/>
        <w:ind w:firstLine="640"/>
        <w:rPr>
          <w:rFonts w:hint="eastAsia" w:ascii="仿宋_GB2312" w:hAnsi="Times New Roman" w:eastAsia="仿宋_GB2312"/>
          <w:sz w:val="32"/>
          <w:szCs w:val="32"/>
        </w:rPr>
      </w:pPr>
    </w:p>
    <w:p/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23154140">
    <w:nsid w:val="6CAB1FDC"/>
    <w:multiLevelType w:val="singleLevel"/>
    <w:tmpl w:val="6CAB1FDC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51248045">
    <w:nsid w:val="5C762AAD"/>
    <w:multiLevelType w:val="singleLevel"/>
    <w:tmpl w:val="5C762AAD"/>
    <w:lvl w:ilvl="0" w:tentative="1">
      <w:start w:val="1"/>
      <w:numFmt w:val="decimal"/>
      <w:suff w:val="nothing"/>
      <w:lvlText w:val="%1、"/>
      <w:lvlJc w:val="left"/>
    </w:lvl>
  </w:abstractNum>
  <w:abstractNum w:abstractNumId="3414813701">
    <w:nsid w:val="CB89EC05"/>
    <w:multiLevelType w:val="singleLevel"/>
    <w:tmpl w:val="CB89EC05"/>
    <w:lvl w:ilvl="0" w:tentative="1">
      <w:start w:val="1"/>
      <w:numFmt w:val="decimal"/>
      <w:suff w:val="nothing"/>
      <w:lvlText w:val="%1、"/>
      <w:lvlJc w:val="left"/>
    </w:lvl>
  </w:abstractNum>
  <w:abstractNum w:abstractNumId="1664163446">
    <w:nsid w:val="63311E76"/>
    <w:multiLevelType w:val="multilevel"/>
    <w:tmpl w:val="63311E76"/>
    <w:lvl w:ilvl="0" w:tentative="1">
      <w:start w:val="7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1823154140"/>
  </w:num>
  <w:num w:numId="2">
    <w:abstractNumId w:val="1664163446"/>
  </w:num>
  <w:num w:numId="3">
    <w:abstractNumId w:val="3414813701"/>
  </w:num>
  <w:num w:numId="4">
    <w:abstractNumId w:val="15512480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7B61"/>
    <w:rsid w:val="00727B61"/>
    <w:rsid w:val="0C7827D9"/>
    <w:rsid w:val="14D654F6"/>
    <w:rsid w:val="2FB92226"/>
    <w:rsid w:val="3CEE6625"/>
    <w:rsid w:val="43443BB7"/>
    <w:rsid w:val="47C64900"/>
    <w:rsid w:val="484C72AA"/>
    <w:rsid w:val="49591216"/>
    <w:rsid w:val="5959467C"/>
    <w:rsid w:val="5B076365"/>
    <w:rsid w:val="5FE422B3"/>
    <w:rsid w:val="67156E90"/>
    <w:rsid w:val="742F072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qFormat/>
    <w:uiPriority w:val="0"/>
    <w:rPr/>
  </w:style>
  <w:style w:type="paragraph" w:customStyle="1" w:styleId="6">
    <w:name w:val="_Style 5"/>
    <w:basedOn w:val="1"/>
    <w:next w:val="7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脚 字符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534</Words>
  <Characters>3047</Characters>
  <Lines>25</Lines>
  <Paragraphs>7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2019-01-21T02:43:00Z</dcterms:created>
  <dc:creator>张佚名</dc:creator>
  <cp:lastModifiedBy>Administrator</cp:lastModifiedBy>
  <cp:lastPrinted>2019-02-27T00:39:00Z</cp:lastPrinted>
  <dcterms:modified xsi:type="dcterms:W3CDTF">2019-03-08T01:39:17Z</dcterms:modified>
  <dc:title>××部门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