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rPr>
          <w:rFonts w:ascii="Times New Roman"/>
          <w:b w:val="0"/>
          <w:sz w:val="24"/>
        </w:rPr>
      </w:pPr>
    </w:p>
    <w:p>
      <w:pPr>
        <w:pStyle w:val="2"/>
        <w:spacing w:before="33"/>
        <w:ind w:left="6391" w:right="6151"/>
        <w:jc w:val="center"/>
        <w:rPr>
          <w:w w:val="99"/>
        </w:rPr>
      </w:pPr>
      <w:r>
        <w:t>卫生健康领域基层政务公开标准目录（试行）</w:t>
      </w:r>
      <w:r>
        <w:rPr>
          <w:w w:val="99"/>
        </w:rPr>
        <w:t xml:space="preserve"> </w:t>
      </w: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 xml:space="preserve">0101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r>
              <w:rPr>
                <w:color w:val="000000"/>
                <w:sz w:val="23"/>
              </w:rPr>
              <w:t>对医疗机构未取得《医疗机构执业许可证》擅自开展性病诊疗活动的处罚</w:t>
            </w: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pStyle w:val="2"/>
        <w:spacing w:before="33"/>
        <w:ind w:left="6391" w:right="6151"/>
        <w:jc w:val="center"/>
        <w:rPr>
          <w:w w:val="99"/>
        </w:rPr>
      </w:pPr>
    </w:p>
    <w:p>
      <w:pPr>
        <w:pStyle w:val="2"/>
        <w:spacing w:before="33"/>
        <w:ind w:left="6391" w:right="6151"/>
        <w:jc w:val="center"/>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010</w:t>
            </w:r>
            <w:r>
              <w:rPr>
                <w:rFonts w:hint="eastAsia"/>
                <w:sz w:val="24"/>
                <w:lang w:val="en-US"/>
              </w:rPr>
              <w:t>2</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1</w:t>
            </w:r>
            <w:r>
              <w:rPr>
                <w:sz w:val="24"/>
              </w:rPr>
              <w:t xml:space="preserve">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r>
              <w:rPr>
                <w:color w:val="000000"/>
                <w:sz w:val="23"/>
              </w:rPr>
              <w:t>不具备集中处置医疗废物条件的农村医疗卫生机构未按规定处置医疗废物的处罚</w:t>
            </w:r>
          </w:p>
          <w:p>
            <w:pPr>
              <w:pStyle w:val="10"/>
              <w:rPr>
                <w:b/>
                <w:sz w:val="24"/>
              </w:rPr>
            </w:pP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tbl>
            <w:tblPr>
              <w:tblStyle w:val="6"/>
              <w:tblW w:w="4740" w:type="dxa"/>
              <w:tblInd w:w="0" w:type="dxa"/>
              <w:tblLayout w:type="fixed"/>
              <w:tblCellMar>
                <w:top w:w="0" w:type="dxa"/>
                <w:left w:w="108" w:type="dxa"/>
                <w:bottom w:w="0" w:type="dxa"/>
                <w:right w:w="108" w:type="dxa"/>
              </w:tblCellMar>
            </w:tblPr>
            <w:tblGrid>
              <w:gridCol w:w="4740"/>
            </w:tblGrid>
            <w:tr>
              <w:tblPrEx>
                <w:tblCellMar>
                  <w:top w:w="0" w:type="dxa"/>
                  <w:left w:w="108" w:type="dxa"/>
                  <w:bottom w:w="0" w:type="dxa"/>
                  <w:right w:w="108" w:type="dxa"/>
                </w:tblCellMar>
              </w:tblPrEx>
              <w:trPr>
                <w:trHeight w:val="2566" w:hRule="atLeast"/>
              </w:trPr>
              <w:tc>
                <w:tcPr>
                  <w:tcW w:w="4740" w:type="dxa"/>
                  <w:tcBorders>
                    <w:tl2br w:val="nil"/>
                    <w:tr2bl w:val="nil"/>
                  </w:tcBorders>
                </w:tcPr>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【法律】《中华人民共和国传染病防治法》（2013年6月29日修正） </w:t>
                  </w:r>
                </w:p>
                <w:p>
                  <w:pPr>
                    <w:rPr>
                      <w:color w:val="000000"/>
                      <w:sz w:val="23"/>
                    </w:rPr>
                  </w:pPr>
                  <w:r>
                    <w:rPr>
                      <w:rFonts w:hint="eastAsia"/>
                      <w:color w:val="000000"/>
                      <w:sz w:val="23"/>
                    </w:rPr>
                    <w:t xml:space="preserve">【行政法规】《医疗废物管理条例》（中华人民共和国国务院令第380号） </w:t>
                  </w:r>
                </w:p>
                <w:p>
                  <w:pPr>
                    <w:rPr>
                      <w:color w:val="000000"/>
                      <w:sz w:val="23"/>
                    </w:rPr>
                  </w:pPr>
                  <w:r>
                    <w:rPr>
                      <w:rFonts w:hint="eastAsia"/>
                      <w:color w:val="000000"/>
                      <w:sz w:val="23"/>
                    </w:rPr>
                    <w:t xml:space="preserve">【行政法规】《中华人民共和国传染病防治法实施办法》（中华人民共和国卫生部令第17号） </w:t>
                  </w:r>
                </w:p>
                <w:p>
                  <w:pPr>
                    <w:rPr>
                      <w:color w:val="000000"/>
                      <w:sz w:val="23"/>
                    </w:rPr>
                  </w:pPr>
                  <w:r>
                    <w:rPr>
                      <w:rFonts w:hint="eastAsia"/>
                      <w:color w:val="000000"/>
                      <w:sz w:val="23"/>
                    </w:rPr>
                    <w:t xml:space="preserve">【部门规章及规范性文件】《医疗卫生机构医疗废物管理办法》(中华人民共和国卫生部令第36号) </w:t>
                  </w:r>
                </w:p>
                <w:p>
                  <w:pPr>
                    <w:rPr>
                      <w:color w:val="000000"/>
                      <w:sz w:val="23"/>
                    </w:rPr>
                  </w:pPr>
                  <w:r>
                    <w:rPr>
                      <w:rFonts w:hint="eastAsia"/>
                      <w:color w:val="000000"/>
                      <w:sz w:val="23"/>
                    </w:rPr>
                    <w:t xml:space="preserve">【部门规章及规范性文件】《卫生行政处罚程序》（1997年6月19日中华人民共和国卫生部令第53号） </w:t>
                  </w:r>
                </w:p>
              </w:tc>
            </w:tr>
          </w:tbl>
          <w:p>
            <w:pPr>
              <w:pStyle w:val="10"/>
              <w:spacing w:before="1" w:line="254" w:lineRule="auto"/>
              <w:ind w:left="111" w:right="284"/>
              <w:jc w:val="both"/>
              <w:rPr>
                <w:sz w:val="24"/>
              </w:rPr>
            </w:pP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pStyle w:val="2"/>
        <w:spacing w:before="33"/>
        <w:ind w:left="6391" w:right="6151"/>
        <w:jc w:val="center"/>
        <w:rPr>
          <w:w w:val="99"/>
        </w:rPr>
      </w:pPr>
    </w:p>
    <w:p>
      <w:pPr>
        <w:pStyle w:val="2"/>
        <w:spacing w:before="33"/>
        <w:ind w:left="6391" w:right="6151"/>
        <w:jc w:val="center"/>
        <w:rPr>
          <w:w w:val="99"/>
        </w:rPr>
      </w:pPr>
    </w:p>
    <w:p>
      <w:pPr>
        <w:pStyle w:val="2"/>
        <w:spacing w:before="33"/>
        <w:ind w:left="6391" w:right="6151"/>
        <w:jc w:val="center"/>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010</w:t>
            </w:r>
            <w:r>
              <w:rPr>
                <w:rFonts w:hint="eastAsia"/>
                <w:sz w:val="24"/>
                <w:lang w:val="en-US"/>
              </w:rPr>
              <w:t>3</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1</w:t>
            </w:r>
            <w:r>
              <w:rPr>
                <w:sz w:val="24"/>
              </w:rPr>
              <w:t xml:space="preserve">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对消毒服务机构消毒后的物品未达到卫生标准和要求的处罚</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tbl>
            <w:tblPr>
              <w:tblStyle w:val="6"/>
              <w:tblW w:w="4740" w:type="dxa"/>
              <w:tblInd w:w="0" w:type="dxa"/>
              <w:tblLayout w:type="fixed"/>
              <w:tblCellMar>
                <w:top w:w="0" w:type="dxa"/>
                <w:left w:w="108" w:type="dxa"/>
                <w:bottom w:w="0" w:type="dxa"/>
                <w:right w:w="108" w:type="dxa"/>
              </w:tblCellMar>
            </w:tblPr>
            <w:tblGrid>
              <w:gridCol w:w="4740"/>
            </w:tblGrid>
            <w:tr>
              <w:tblPrEx>
                <w:tblCellMar>
                  <w:top w:w="0" w:type="dxa"/>
                  <w:left w:w="108" w:type="dxa"/>
                  <w:bottom w:w="0" w:type="dxa"/>
                  <w:right w:w="108" w:type="dxa"/>
                </w:tblCellMar>
              </w:tblPrEx>
              <w:trPr>
                <w:trHeight w:val="1749" w:hRule="atLeast"/>
              </w:trPr>
              <w:tc>
                <w:tcPr>
                  <w:tcW w:w="4740" w:type="dxa"/>
                  <w:tcBorders>
                    <w:tl2br w:val="nil"/>
                    <w:tr2bl w:val="nil"/>
                  </w:tcBorders>
                </w:tcPr>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【法律】《中华人民共和国传染病防治法》（2013年6月29日修正） </w:t>
                  </w:r>
                </w:p>
                <w:p>
                  <w:pPr>
                    <w:rPr>
                      <w:color w:val="000000"/>
                      <w:sz w:val="23"/>
                    </w:rPr>
                  </w:pPr>
                  <w:r>
                    <w:rPr>
                      <w:rFonts w:hint="eastAsia"/>
                      <w:color w:val="000000"/>
                      <w:sz w:val="23"/>
                    </w:rPr>
                    <w:t xml:space="preserve">【行政法规】《中华人民共和国传染病防治法实施办法》（中华人民共和国卫生部令第17号） </w:t>
                  </w:r>
                </w:p>
                <w:p>
                  <w:pPr>
                    <w:rPr>
                      <w:color w:val="000000"/>
                      <w:sz w:val="23"/>
                    </w:rPr>
                  </w:pPr>
                  <w:r>
                    <w:rPr>
                      <w:rFonts w:hint="eastAsia"/>
                      <w:color w:val="000000"/>
                      <w:sz w:val="23"/>
                    </w:rPr>
                    <w:t xml:space="preserve">【部门规章及规范性文件】《卫生行政处罚程序》（1997年6月19日中华人民共和国卫生部令第53号） </w:t>
                  </w:r>
                </w:p>
              </w:tc>
            </w:tr>
          </w:tbl>
          <w:p>
            <w:pPr>
              <w:pStyle w:val="10"/>
              <w:spacing w:before="1" w:line="254" w:lineRule="auto"/>
              <w:ind w:left="111" w:right="284"/>
              <w:jc w:val="both"/>
              <w:rPr>
                <w:sz w:val="24"/>
              </w:rPr>
            </w:pP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010</w:t>
            </w:r>
            <w:r>
              <w:rPr>
                <w:rFonts w:hint="eastAsia"/>
                <w:sz w:val="24"/>
                <w:lang w:val="en-US"/>
              </w:rPr>
              <w:t>4</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1</w:t>
            </w:r>
            <w:r>
              <w:rPr>
                <w:sz w:val="24"/>
              </w:rPr>
              <w:t xml:space="preserve">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rPr>
            </w:pPr>
            <w:r>
              <w:rPr>
                <w:rFonts w:hint="eastAsia"/>
                <w:color w:val="000000"/>
                <w:lang w:val="en-US"/>
              </w:rPr>
              <w:t xml:space="preserve">检疫传染病病人、疑似检疫传染病病人以及与其密切接触者隐瞒真实情况、逃避交通卫生检疫的处罚 </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tbl>
            <w:tblPr>
              <w:tblStyle w:val="6"/>
              <w:tblW w:w="4740" w:type="dxa"/>
              <w:tblInd w:w="0" w:type="dxa"/>
              <w:tblLayout w:type="fixed"/>
              <w:tblCellMar>
                <w:top w:w="0" w:type="dxa"/>
                <w:left w:w="108" w:type="dxa"/>
                <w:bottom w:w="0" w:type="dxa"/>
                <w:right w:w="108" w:type="dxa"/>
              </w:tblCellMar>
            </w:tblPr>
            <w:tblGrid>
              <w:gridCol w:w="4740"/>
            </w:tblGrid>
            <w:tr>
              <w:tblPrEx>
                <w:tblCellMar>
                  <w:top w:w="0" w:type="dxa"/>
                  <w:left w:w="108" w:type="dxa"/>
                  <w:bottom w:w="0" w:type="dxa"/>
                  <w:right w:w="108" w:type="dxa"/>
                </w:tblCellMar>
              </w:tblPrEx>
              <w:trPr>
                <w:trHeight w:val="1749" w:hRule="atLeast"/>
              </w:trPr>
              <w:tc>
                <w:tcPr>
                  <w:tcW w:w="4740" w:type="dxa"/>
                  <w:tcBorders>
                    <w:tl2br w:val="nil"/>
                    <w:tr2bl w:val="nil"/>
                  </w:tcBorders>
                </w:tcPr>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【法律】《中华人民共和国传染病防治法》（2013年6月29日修正） </w:t>
                  </w:r>
                </w:p>
                <w:p>
                  <w:pPr>
                    <w:rPr>
                      <w:color w:val="000000"/>
                      <w:sz w:val="23"/>
                    </w:rPr>
                  </w:pPr>
                  <w:r>
                    <w:rPr>
                      <w:rFonts w:hint="eastAsia"/>
                      <w:color w:val="000000"/>
                      <w:sz w:val="23"/>
                    </w:rPr>
                    <w:t xml:space="preserve">【行政法规】《中华人民共和国传染病防治法实施办法》（中华人民共和国卫生部令第17号） </w:t>
                  </w:r>
                </w:p>
                <w:p>
                  <w:pPr>
                    <w:rPr>
                      <w:color w:val="000000"/>
                      <w:sz w:val="23"/>
                    </w:rPr>
                  </w:pPr>
                  <w:r>
                    <w:rPr>
                      <w:rFonts w:hint="eastAsia"/>
                      <w:color w:val="000000"/>
                      <w:sz w:val="23"/>
                    </w:rPr>
                    <w:t xml:space="preserve">【部门规章及规范性文件】《卫生行政处罚程序》（1997年6月19日中华人民共和国卫生部令第53号） </w:t>
                  </w:r>
                </w:p>
              </w:tc>
            </w:tr>
          </w:tbl>
          <w:p>
            <w:pPr>
              <w:pStyle w:val="10"/>
              <w:spacing w:before="1" w:line="254" w:lineRule="auto"/>
              <w:ind w:left="111" w:right="284"/>
              <w:jc w:val="both"/>
              <w:rPr>
                <w:sz w:val="24"/>
              </w:rPr>
            </w:pP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010</w:t>
            </w:r>
            <w:r>
              <w:rPr>
                <w:rFonts w:hint="eastAsia"/>
                <w:sz w:val="24"/>
                <w:lang w:val="en-US"/>
              </w:rPr>
              <w:t>5</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1</w:t>
            </w:r>
            <w:r>
              <w:rPr>
                <w:sz w:val="24"/>
              </w:rPr>
              <w:t xml:space="preserve">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 xml:space="preserve">临床用血的检测、分离、包装、储存、运输不符合国家规定的处罚 </w:t>
            </w:r>
          </w:p>
          <w:p>
            <w:pPr>
              <w:pStyle w:val="10"/>
              <w:rPr>
                <w:b/>
              </w:rPr>
            </w:pP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tbl>
            <w:tblPr>
              <w:tblStyle w:val="6"/>
              <w:tblW w:w="4740" w:type="dxa"/>
              <w:tblInd w:w="0" w:type="dxa"/>
              <w:tblLayout w:type="fixed"/>
              <w:tblCellMar>
                <w:top w:w="0" w:type="dxa"/>
                <w:left w:w="108" w:type="dxa"/>
                <w:bottom w:w="0" w:type="dxa"/>
                <w:right w:w="108" w:type="dxa"/>
              </w:tblCellMar>
            </w:tblPr>
            <w:tblGrid>
              <w:gridCol w:w="4740"/>
            </w:tblGrid>
            <w:tr>
              <w:tblPrEx>
                <w:tblCellMar>
                  <w:top w:w="0" w:type="dxa"/>
                  <w:left w:w="108" w:type="dxa"/>
                  <w:bottom w:w="0" w:type="dxa"/>
                  <w:right w:w="108" w:type="dxa"/>
                </w:tblCellMar>
              </w:tblPrEx>
              <w:trPr>
                <w:trHeight w:val="2076" w:hRule="atLeast"/>
              </w:trPr>
              <w:tc>
                <w:tcPr>
                  <w:tcW w:w="4740" w:type="dxa"/>
                  <w:tcBorders>
                    <w:tl2br w:val="nil"/>
                    <w:tr2bl w:val="nil"/>
                  </w:tcBorders>
                </w:tcPr>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【法律】《中华人民共和国献血法》（中华人民共和国主席令第93号） </w:t>
                  </w:r>
                </w:p>
                <w:p>
                  <w:pPr>
                    <w:rPr>
                      <w:color w:val="000000"/>
                      <w:sz w:val="23"/>
                    </w:rPr>
                  </w:pPr>
                  <w:r>
                    <w:rPr>
                      <w:rFonts w:hint="eastAsia"/>
                      <w:color w:val="000000"/>
                      <w:sz w:val="23"/>
                    </w:rPr>
                    <w:t xml:space="preserve">【法律】《中华人民共和国传染病防治法》（2013年6月29日修正） </w:t>
                  </w:r>
                </w:p>
                <w:p>
                  <w:pPr>
                    <w:rPr>
                      <w:color w:val="000000"/>
                      <w:sz w:val="23"/>
                    </w:rPr>
                  </w:pPr>
                  <w:r>
                    <w:rPr>
                      <w:rFonts w:hint="eastAsia"/>
                      <w:color w:val="000000"/>
                      <w:sz w:val="23"/>
                    </w:rPr>
                    <w:t xml:space="preserve">【部门规章及规范性文件】《血站管理办法》（中华人民共和国卫生部令第44号发布 2017年12月26日修订） </w:t>
                  </w:r>
                </w:p>
                <w:p>
                  <w:pPr>
                    <w:rPr>
                      <w:color w:val="000000"/>
                      <w:sz w:val="23"/>
                    </w:rPr>
                  </w:pPr>
                  <w:r>
                    <w:rPr>
                      <w:rFonts w:hint="eastAsia"/>
                      <w:color w:val="000000"/>
                      <w:sz w:val="23"/>
                    </w:rPr>
                    <w:t xml:space="preserve">【部门规章及规范性文件】《卫生行政处罚程序》（1997年6月19日中华人民共和国卫生部令第53号） </w:t>
                  </w:r>
                </w:p>
              </w:tc>
            </w:tr>
          </w:tbl>
          <w:p>
            <w:pPr>
              <w:pStyle w:val="10"/>
              <w:spacing w:before="1" w:line="254" w:lineRule="auto"/>
              <w:ind w:left="111" w:right="284"/>
              <w:jc w:val="both"/>
              <w:rPr>
                <w:sz w:val="24"/>
              </w:rPr>
            </w:pP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010</w:t>
            </w:r>
            <w:r>
              <w:rPr>
                <w:rFonts w:hint="eastAsia"/>
                <w:sz w:val="24"/>
                <w:lang w:val="en-US"/>
              </w:rPr>
              <w:t>6</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1</w:t>
            </w:r>
            <w:r>
              <w:rPr>
                <w:sz w:val="24"/>
              </w:rPr>
              <w:t xml:space="preserve">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卫生主管部门、疾病预防控制机构、接种单位以外的单位或者个人违规进行群体性预防接种的处罚</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tbl>
            <w:tblPr>
              <w:tblStyle w:val="6"/>
              <w:tblW w:w="4740" w:type="dxa"/>
              <w:tblInd w:w="0" w:type="dxa"/>
              <w:tblLayout w:type="fixed"/>
              <w:tblCellMar>
                <w:top w:w="0" w:type="dxa"/>
                <w:left w:w="108" w:type="dxa"/>
                <w:bottom w:w="0" w:type="dxa"/>
                <w:right w:w="108" w:type="dxa"/>
              </w:tblCellMar>
            </w:tblPr>
            <w:tblGrid>
              <w:gridCol w:w="4740"/>
            </w:tblGrid>
            <w:tr>
              <w:tblPrEx>
                <w:tblCellMar>
                  <w:top w:w="0" w:type="dxa"/>
                  <w:left w:w="108" w:type="dxa"/>
                  <w:bottom w:w="0" w:type="dxa"/>
                  <w:right w:w="108" w:type="dxa"/>
                </w:tblCellMar>
              </w:tblPrEx>
              <w:trPr>
                <w:trHeight w:val="1586" w:hRule="atLeast"/>
              </w:trPr>
              <w:tc>
                <w:tcPr>
                  <w:tcW w:w="4740" w:type="dxa"/>
                  <w:tcBorders>
                    <w:tl2br w:val="nil"/>
                    <w:tr2bl w:val="nil"/>
                  </w:tcBorders>
                </w:tcPr>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【行政法规】《疫苗流通和预防接种管理条例》（中华人民共和国国务院令第434号 2016年4月23日《国务院关于修改&lt;疫苗流通和预防接种管理条例&gt;的决定》修订） </w:t>
                  </w:r>
                </w:p>
                <w:p>
                  <w:pPr>
                    <w:rPr>
                      <w:color w:val="000000"/>
                      <w:sz w:val="23"/>
                    </w:rPr>
                  </w:pPr>
                  <w:r>
                    <w:rPr>
                      <w:rFonts w:hint="eastAsia"/>
                      <w:color w:val="000000"/>
                      <w:sz w:val="23"/>
                    </w:rPr>
                    <w:t xml:space="preserve">【部门规章及规范性文件】《卫生行政处罚程序》（1997年6月19日中华人民共和国卫生部令第53号） </w:t>
                  </w:r>
                </w:p>
              </w:tc>
            </w:tr>
          </w:tbl>
          <w:p>
            <w:pPr>
              <w:pStyle w:val="10"/>
              <w:spacing w:before="1" w:line="254" w:lineRule="auto"/>
              <w:ind w:left="111" w:right="284"/>
              <w:jc w:val="both"/>
              <w:rPr>
                <w:sz w:val="24"/>
              </w:rPr>
            </w:pP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010</w:t>
            </w:r>
            <w:r>
              <w:rPr>
                <w:rFonts w:hint="eastAsia"/>
                <w:sz w:val="24"/>
                <w:lang w:val="en-US"/>
              </w:rPr>
              <w:t>7</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1</w:t>
            </w:r>
            <w:r>
              <w:rPr>
                <w:sz w:val="24"/>
              </w:rPr>
              <w:t xml:space="preserve">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 xml:space="preserve">未经核准擅自使用抗菌药物开展静脉输注活动的处罚 </w:t>
            </w:r>
          </w:p>
          <w:p>
            <w:pPr>
              <w:pStyle w:val="10"/>
              <w:rPr>
                <w:b/>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010</w:t>
            </w:r>
            <w:r>
              <w:rPr>
                <w:rFonts w:hint="eastAsia"/>
                <w:sz w:val="24"/>
                <w:lang w:val="en-US"/>
              </w:rPr>
              <w:t>8</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1</w:t>
            </w:r>
            <w:r>
              <w:rPr>
                <w:sz w:val="24"/>
              </w:rPr>
              <w:t xml:space="preserve">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未经批准，擅自从事戒毒治疗业务的处罚</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w:t>
            </w:r>
            <w:r>
              <w:rPr>
                <w:rFonts w:hint="eastAsia"/>
                <w:sz w:val="24"/>
              </w:rPr>
              <w:t>09</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未依照规定建立并保存疫苗接受或者购进记录的处罚</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tbl>
            <w:tblPr>
              <w:tblStyle w:val="6"/>
              <w:tblW w:w="4740" w:type="dxa"/>
              <w:tblInd w:w="0" w:type="dxa"/>
              <w:tblLayout w:type="fixed"/>
              <w:tblCellMar>
                <w:top w:w="0" w:type="dxa"/>
                <w:left w:w="108" w:type="dxa"/>
                <w:bottom w:w="0" w:type="dxa"/>
                <w:right w:w="108" w:type="dxa"/>
              </w:tblCellMar>
            </w:tblPr>
            <w:tblGrid>
              <w:gridCol w:w="4740"/>
            </w:tblGrid>
            <w:tr>
              <w:tblPrEx>
                <w:tblCellMar>
                  <w:top w:w="0" w:type="dxa"/>
                  <w:left w:w="108" w:type="dxa"/>
                  <w:bottom w:w="0" w:type="dxa"/>
                  <w:right w:w="108" w:type="dxa"/>
                </w:tblCellMar>
              </w:tblPrEx>
              <w:trPr>
                <w:trHeight w:val="1586" w:hRule="atLeast"/>
              </w:trPr>
              <w:tc>
                <w:tcPr>
                  <w:tcW w:w="4740" w:type="dxa"/>
                  <w:tcBorders>
                    <w:tl2br w:val="nil"/>
                    <w:tr2bl w:val="nil"/>
                  </w:tcBorders>
                </w:tcPr>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【行政法规】《疫苗流通和预防接种管理条例》（中华人民共和国国务院令第434号 2016年4月23日《国务院关于修改&lt;疫苗流通和预防接种管理条例&gt;的决定》修订） </w:t>
                  </w:r>
                </w:p>
                <w:p>
                  <w:pPr>
                    <w:rPr>
                      <w:color w:val="000000"/>
                      <w:sz w:val="23"/>
                    </w:rPr>
                  </w:pPr>
                  <w:r>
                    <w:rPr>
                      <w:rFonts w:hint="eastAsia"/>
                      <w:color w:val="000000"/>
                      <w:sz w:val="23"/>
                    </w:rPr>
                    <w:t xml:space="preserve">【部门规章及规范性文件】《卫生行政处罚程序》（1997年6月19日中华人民共和国卫生部令第53号） </w:t>
                  </w:r>
                </w:p>
              </w:tc>
            </w:tr>
          </w:tbl>
          <w:p>
            <w:pPr>
              <w:pStyle w:val="10"/>
              <w:spacing w:before="1" w:line="254" w:lineRule="auto"/>
              <w:ind w:left="111" w:right="284"/>
              <w:jc w:val="both"/>
              <w:rPr>
                <w:sz w:val="24"/>
              </w:rPr>
            </w:pP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011</w:t>
            </w:r>
            <w:r>
              <w:rPr>
                <w:rFonts w:hint="eastAsia"/>
                <w:sz w:val="24"/>
                <w:lang w:val="en-US"/>
              </w:rPr>
              <w:t>0</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 xml:space="preserve">未种、漏种或迟种卡介苗、不报、漏报、谎报、迟报结核病疫情、发现肺结核和疑似肺结核病人未转诊、擅自收治肺结核病人、在卡介苗接种工作中发生责任事故的处罚 </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011</w:t>
            </w:r>
            <w:r>
              <w:rPr>
                <w:rFonts w:hint="eastAsia"/>
                <w:sz w:val="24"/>
                <w:lang w:val="en-US"/>
              </w:rPr>
              <w:t>1</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消毒产品生产经营单位产品的标签（含说明书）和宣传内容不真实，出现或暗示对疾病治疗效果；生产经营无生产企业卫生许可证、新消毒产品卫生许可批件或产品卫生安全评价不合格或卫生质量不符合要求的消毒产品的处罚</w:t>
            </w:r>
          </w:p>
          <w:p>
            <w:pPr>
              <w:pStyle w:val="10"/>
              <w:rPr>
                <w:b/>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w:t>
            </w:r>
            <w:r>
              <w:rPr>
                <w:rFonts w:hint="eastAsia"/>
                <w:sz w:val="24"/>
              </w:rPr>
              <w:t>12</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药师未按照规定审核、调剂抗菌药物处方，情节严重的，未按照规定私自增加抗菌药物品种或者品规的处罚</w:t>
            </w:r>
          </w:p>
          <w:p>
            <w:pPr>
              <w:pStyle w:val="10"/>
              <w:rPr>
                <w:b/>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011</w:t>
            </w:r>
            <w:r>
              <w:rPr>
                <w:rFonts w:hint="eastAsia"/>
                <w:sz w:val="24"/>
                <w:lang w:val="en-US"/>
              </w:rPr>
              <w:t>3</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医疗机构无专职或者兼职人员负责本单位药品不良反应监测工作；未按照要求开展药品不良反应或者群体不良事件报告、调查、评价和处理；不配合严重药品不良反应和群体不良事件相关调查工作的处罚</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011</w:t>
            </w:r>
            <w:r>
              <w:rPr>
                <w:rFonts w:hint="eastAsia"/>
                <w:sz w:val="24"/>
                <w:lang w:val="en-US"/>
              </w:rPr>
              <w:t>4</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 xml:space="preserve">单位未依规对因生产、工作必须接触疫水的人员采取防护措施，或者未定期组织进行血吸虫病的专项体检；对政府有关部门采取的预防、控制措施不予配合；在血吸虫病防治地区施用未经无害化处理粪便的处罚  </w:t>
            </w:r>
          </w:p>
          <w:p>
            <w:pPr>
              <w:pStyle w:val="10"/>
              <w:rPr>
                <w:b/>
                <w:sz w:val="24"/>
              </w:rPr>
            </w:pP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011</w:t>
            </w:r>
            <w:r>
              <w:rPr>
                <w:rFonts w:hint="eastAsia"/>
                <w:sz w:val="24"/>
                <w:lang w:val="en-US"/>
              </w:rPr>
              <w:t>5</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执行职务的医疗卫生人员或个体行医人员不报、漏报、迟报、瞒报、缓报、谎报传染病疫情或突发性公共卫生事件的处罚</w:t>
            </w:r>
          </w:p>
          <w:p>
            <w:pPr>
              <w:pStyle w:val="10"/>
              <w:rPr>
                <w:b/>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lang w:val="en-US"/>
              </w:rPr>
              <w:t>116</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ascii="微软雅黑" w:hAnsi="微软雅黑" w:eastAsia="微软雅黑" w:cs="微软雅黑"/>
                <w:color w:val="000000"/>
              </w:rPr>
              <w:t>公共场</w:t>
            </w:r>
            <w:r>
              <w:rPr>
                <w:rFonts w:hint="eastAsia" w:ascii="微软雅黑" w:hAnsi="微软雅黑" w:eastAsia="微软雅黑" w:cs="微软雅黑"/>
                <w:color w:val="000000"/>
              </w:rPr>
              <w:t>所</w:t>
            </w:r>
            <w:r>
              <w:rPr>
                <w:rFonts w:ascii="微软雅黑" w:hAnsi="微软雅黑" w:eastAsia="微软雅黑" w:cs="微软雅黑"/>
                <w:color w:val="000000"/>
              </w:rPr>
              <w:t>卫生</w:t>
            </w:r>
            <w:r>
              <w:rPr>
                <w:rFonts w:hint="eastAsia" w:ascii="微软雅黑" w:hAnsi="微软雅黑" w:eastAsia="微软雅黑" w:cs="微软雅黑"/>
                <w:color w:val="000000"/>
              </w:rPr>
              <w:t>违法行为的处罚</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tbl>
            <w:tblPr>
              <w:tblStyle w:val="6"/>
              <w:tblW w:w="4740" w:type="dxa"/>
              <w:tblInd w:w="0" w:type="dxa"/>
              <w:tblLayout w:type="fixed"/>
              <w:tblCellMar>
                <w:top w:w="0" w:type="dxa"/>
                <w:left w:w="108" w:type="dxa"/>
                <w:bottom w:w="0" w:type="dxa"/>
                <w:right w:w="108" w:type="dxa"/>
              </w:tblCellMar>
            </w:tblPr>
            <w:tblGrid>
              <w:gridCol w:w="4740"/>
            </w:tblGrid>
            <w:tr>
              <w:tblPrEx>
                <w:tblCellMar>
                  <w:top w:w="0" w:type="dxa"/>
                  <w:left w:w="108" w:type="dxa"/>
                  <w:bottom w:w="0" w:type="dxa"/>
                  <w:right w:w="108" w:type="dxa"/>
                </w:tblCellMar>
              </w:tblPrEx>
              <w:trPr>
                <w:trHeight w:val="1913" w:hRule="atLeast"/>
              </w:trPr>
              <w:tc>
                <w:tcPr>
                  <w:tcW w:w="4740" w:type="dxa"/>
                  <w:tcBorders>
                    <w:tl2br w:val="nil"/>
                    <w:tr2bl w:val="nil"/>
                  </w:tcBorders>
                </w:tcPr>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【行政法规】《公共场所卫生管理条例》（国发〔1987〕24号 2016年2月6日修订） </w:t>
                  </w:r>
                </w:p>
                <w:p>
                  <w:pPr>
                    <w:rPr>
                      <w:color w:val="000000"/>
                      <w:sz w:val="23"/>
                    </w:rPr>
                  </w:pPr>
                  <w:r>
                    <w:rPr>
                      <w:rFonts w:hint="eastAsia"/>
                      <w:color w:val="000000"/>
                      <w:sz w:val="23"/>
                    </w:rPr>
                    <w:t xml:space="preserve">） </w:t>
                  </w:r>
                </w:p>
                <w:p>
                  <w:pPr>
                    <w:rPr>
                      <w:color w:val="000000"/>
                      <w:sz w:val="23"/>
                    </w:rPr>
                  </w:pPr>
                  <w:r>
                    <w:rPr>
                      <w:rFonts w:hint="eastAsia"/>
                      <w:color w:val="000000"/>
                      <w:sz w:val="23"/>
                    </w:rPr>
                    <w:t xml:space="preserve">【部门规章及规范性文件】《卫生行政处罚程序》（1997年6月19日中华人民共和国卫生部令第53号） </w:t>
                  </w:r>
                </w:p>
              </w:tc>
            </w:tr>
          </w:tbl>
          <w:p>
            <w:pPr>
              <w:pStyle w:val="10"/>
              <w:spacing w:before="1" w:line="254" w:lineRule="auto"/>
              <w:ind w:left="111" w:right="284"/>
              <w:jc w:val="both"/>
              <w:rPr>
                <w:sz w:val="24"/>
              </w:rPr>
            </w:pPr>
            <w:r>
              <w:rPr>
                <w:rFonts w:hint="eastAsia"/>
                <w:color w:val="000000"/>
                <w:sz w:val="23"/>
              </w:rPr>
              <w:t>【部门规章及规范性文件】《公共场所卫生管理条例实施细则》（中华人民共和国卫生部令第80号 2017年12月26修正</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w:t>
            </w:r>
            <w:r>
              <w:rPr>
                <w:rFonts w:hint="eastAsia"/>
                <w:sz w:val="24"/>
                <w:lang w:val="en-US"/>
              </w:rPr>
              <w:t>17</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1</w:t>
            </w:r>
            <w:r>
              <w:rPr>
                <w:sz w:val="24"/>
              </w:rPr>
              <w:t xml:space="preserve">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r>
              <w:rPr>
                <w:rFonts w:hint="eastAsia" w:cs="黑体"/>
                <w:sz w:val="24"/>
                <w:szCs w:val="24"/>
              </w:rPr>
              <w:t>公共场所的经营者未检查服务人员的健康合格证明，允许未取得健康合格证明的人员从事服务工作确定的公共场所的经营者未在公共场所内放置安全套和设置安全套发售设施的处罚</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【部门规章及规范性文件】《公共场所卫生管理条例实施细则》（中华人民共和国卫生部令第80号 2017年12月26修正） </w:t>
            </w:r>
          </w:p>
          <w:p>
            <w:pPr>
              <w:rPr>
                <w:color w:val="000000"/>
                <w:sz w:val="23"/>
              </w:rPr>
            </w:pPr>
            <w:r>
              <w:rPr>
                <w:rFonts w:hint="eastAsia"/>
                <w:color w:val="000000"/>
                <w:sz w:val="23"/>
              </w:rPr>
              <w:t xml:space="preserve">【行政法规】《公共场所卫生管理条例》（国发〔1987〕24号 2016年2月6日修订） </w:t>
            </w:r>
          </w:p>
          <w:p>
            <w:pPr>
              <w:pStyle w:val="10"/>
              <w:spacing w:before="1" w:line="254" w:lineRule="auto"/>
              <w:ind w:left="111" w:right="284"/>
              <w:jc w:val="both"/>
              <w:rPr>
                <w:sz w:val="24"/>
              </w:rPr>
            </w:pPr>
            <w:r>
              <w:rPr>
                <w:rFonts w:hint="eastAsia"/>
                <w:color w:val="000000"/>
                <w:sz w:val="23"/>
              </w:rPr>
              <w:t xml:space="preserve">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Pr>
        <w:pStyle w:val="2"/>
        <w:spacing w:before="33"/>
        <w:ind w:left="6391" w:right="6151"/>
        <w:jc w:val="center"/>
        <w:rPr>
          <w:w w:val="99"/>
        </w:rPr>
      </w:pPr>
    </w:p>
    <w:p>
      <w:pPr>
        <w:pStyle w:val="2"/>
        <w:spacing w:before="33"/>
        <w:ind w:left="6391" w:right="6151"/>
        <w:jc w:val="center"/>
        <w:rPr>
          <w:w w:val="99"/>
        </w:rPr>
      </w:pPr>
    </w:p>
    <w:tbl>
      <w:tblPr>
        <w:tblStyle w:val="6"/>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79" w:line="252"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rPr>
                <w:b/>
                <w:sz w:val="24"/>
              </w:rPr>
            </w:pPr>
          </w:p>
          <w:p>
            <w:pPr>
              <w:pStyle w:val="10"/>
              <w:spacing w:before="160"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rPr>
                <w:b/>
                <w:sz w:val="24"/>
              </w:rPr>
            </w:pPr>
          </w:p>
          <w:p>
            <w:pPr>
              <w:pStyle w:val="10"/>
              <w:spacing w:before="179" w:line="252"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rPr>
                <w:b/>
                <w:sz w:val="24"/>
              </w:rPr>
            </w:pPr>
          </w:p>
          <w:p>
            <w:pPr>
              <w:pStyle w:val="10"/>
              <w:spacing w:before="179"/>
              <w:ind w:left="1698" w:right="1689"/>
              <w:jc w:val="center"/>
              <w:rPr>
                <w:rFonts w:ascii="黑体" w:eastAsia="黑体"/>
                <w:sz w:val="24"/>
              </w:rPr>
            </w:pPr>
            <w:r>
              <w:rPr>
                <w:rFonts w:hint="eastAsia" w:ascii="黑体" w:eastAsia="黑体"/>
                <w:sz w:val="24"/>
              </w:rPr>
              <w:t>公开内容</w:t>
            </w:r>
          </w:p>
          <w:p>
            <w:pPr>
              <w:pStyle w:val="10"/>
              <w:spacing w:before="16"/>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6"/>
              <w:rPr>
                <w:b/>
                <w:sz w:val="26"/>
              </w:rPr>
            </w:pPr>
          </w:p>
          <w:p>
            <w:pPr>
              <w:pStyle w:val="10"/>
              <w:spacing w:before="1"/>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rPr>
                <w:b/>
                <w:sz w:val="24"/>
              </w:rPr>
            </w:pPr>
          </w:p>
          <w:p>
            <w:pPr>
              <w:pStyle w:val="10"/>
              <w:spacing w:before="179" w:line="252"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rPr>
                <w:b/>
                <w:sz w:val="24"/>
              </w:rPr>
            </w:pPr>
          </w:p>
          <w:p>
            <w:pPr>
              <w:pStyle w:val="10"/>
              <w:spacing w:before="179" w:line="252"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6"/>
              <w:rPr>
                <w:b/>
                <w:sz w:val="26"/>
              </w:rPr>
            </w:pPr>
          </w:p>
          <w:p>
            <w:pPr>
              <w:pStyle w:val="10"/>
              <w:spacing w:before="1"/>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7"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10"/>
              <w:rPr>
                <w:b/>
                <w:sz w:val="31"/>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3"/>
              <w:rPr>
                <w:b/>
                <w:sz w:val="19"/>
              </w:rPr>
            </w:pPr>
          </w:p>
          <w:p>
            <w:pPr>
              <w:pStyle w:val="10"/>
              <w:spacing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7"/>
              <w:rPr>
                <w:b/>
                <w:sz w:val="20"/>
              </w:rPr>
            </w:pPr>
          </w:p>
          <w:p>
            <w:pPr>
              <w:pStyle w:val="10"/>
              <w:spacing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10"/>
              <w:rPr>
                <w:b/>
                <w:sz w:val="31"/>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7"/>
              <w:rPr>
                <w:b/>
                <w:sz w:val="20"/>
              </w:rPr>
            </w:pPr>
          </w:p>
          <w:p>
            <w:pPr>
              <w:pStyle w:val="10"/>
              <w:spacing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7"/>
              <w:rPr>
                <w:b/>
                <w:sz w:val="20"/>
              </w:rPr>
            </w:pPr>
          </w:p>
          <w:p>
            <w:pPr>
              <w:pStyle w:val="10"/>
              <w:spacing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34"/>
              </w:rPr>
            </w:pPr>
          </w:p>
          <w:p>
            <w:pPr>
              <w:pStyle w:val="10"/>
              <w:ind w:left="110" w:right="-29"/>
              <w:rPr>
                <w:sz w:val="24"/>
              </w:rPr>
            </w:pPr>
            <w:r>
              <w:rPr>
                <w:sz w:val="24"/>
              </w:rPr>
              <w:t>0</w:t>
            </w:r>
            <w:r>
              <w:rPr>
                <w:rFonts w:hint="eastAsia"/>
                <w:sz w:val="24"/>
                <w:lang w:val="en-US"/>
              </w:rPr>
              <w:t>118</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17"/>
              </w:rPr>
            </w:pPr>
          </w:p>
          <w:p>
            <w:pPr>
              <w:widowControl/>
            </w:pPr>
            <w:r>
              <w:rPr>
                <w:rFonts w:ascii="TimesNewRomanPSMT" w:hAnsi="TimesNewRomanPSMT" w:eastAsia="TimesNewRomanPSMT" w:cs="TimesNewRomanPSMT"/>
                <w:color w:val="000000"/>
                <w:sz w:val="24"/>
                <w:szCs w:val="24"/>
                <w:lang w:val="en-US"/>
              </w:rPr>
              <w:t>0</w:t>
            </w:r>
            <w:r>
              <w:rPr>
                <w:rFonts w:hint="eastAsia" w:ascii="TimesNewRomanPSMT" w:hAnsi="TimesNewRomanPSMT" w:eastAsia="TimesNewRomanPSMT" w:cs="TimesNewRomanPSMT"/>
                <w:color w:val="000000"/>
                <w:sz w:val="24"/>
                <w:szCs w:val="24"/>
                <w:lang w:val="en-US"/>
              </w:rPr>
              <w:t>1</w:t>
            </w:r>
            <w:r>
              <w:rPr>
                <w:rFonts w:ascii="TimesNewRomanPSMT" w:hAnsi="TimesNewRomanPSMT" w:eastAsia="TimesNewRomanPSMT" w:cs="TimesNewRomanPSMT"/>
                <w:color w:val="000000"/>
                <w:sz w:val="24"/>
                <w:szCs w:val="24"/>
                <w:lang w:val="en-US"/>
              </w:rPr>
              <w:t xml:space="preserve"> </w:t>
            </w:r>
          </w:p>
          <w:p>
            <w:pPr>
              <w:widowControl/>
            </w:pPr>
            <w:r>
              <w:rPr>
                <w:rFonts w:hint="eastAsia"/>
                <w:color w:val="000000"/>
                <w:sz w:val="24"/>
                <w:szCs w:val="24"/>
                <w:lang w:val="en-US"/>
              </w:rPr>
              <w:t>行</w:t>
            </w:r>
          </w:p>
          <w:p>
            <w:pPr>
              <w:widowControl/>
            </w:pPr>
            <w:r>
              <w:rPr>
                <w:rFonts w:hint="eastAsia"/>
                <w:color w:val="000000"/>
                <w:sz w:val="24"/>
                <w:szCs w:val="24"/>
                <w:lang w:val="en-US"/>
              </w:rPr>
              <w:t>政</w:t>
            </w:r>
          </w:p>
          <w:p>
            <w:pPr>
              <w:widowControl/>
            </w:pPr>
            <w:r>
              <w:rPr>
                <w:rFonts w:hint="eastAsia"/>
                <w:color w:val="000000"/>
                <w:sz w:val="24"/>
                <w:szCs w:val="24"/>
                <w:lang w:val="en-US"/>
              </w:rPr>
              <w:t>处</w:t>
            </w:r>
          </w:p>
          <w:p>
            <w:pPr>
              <w:widowControl/>
            </w:pPr>
            <w:r>
              <w:rPr>
                <w:rFonts w:hint="eastAsia"/>
                <w:color w:val="000000"/>
                <w:sz w:val="24"/>
                <w:szCs w:val="24"/>
                <w:lang w:val="en-US"/>
              </w:rPr>
              <w:t>罚</w:t>
            </w:r>
          </w:p>
          <w:p>
            <w:pPr>
              <w:widowControl/>
            </w:pPr>
            <w:r>
              <w:rPr>
                <w:rFonts w:hint="eastAsia"/>
                <w:color w:val="000000"/>
                <w:sz w:val="24"/>
                <w:szCs w:val="24"/>
                <w:lang w:val="en-US"/>
              </w:rPr>
              <w:t>类</w:t>
            </w:r>
          </w:p>
          <w:p>
            <w:pPr>
              <w:widowControl/>
            </w:pPr>
            <w:r>
              <w:rPr>
                <w:rFonts w:hint="eastAsia"/>
                <w:color w:val="000000"/>
                <w:sz w:val="24"/>
                <w:szCs w:val="24"/>
                <w:lang w:val="en-US"/>
              </w:rPr>
              <w:t>事</w:t>
            </w:r>
          </w:p>
          <w:p>
            <w:pPr>
              <w:widowControl/>
            </w:pPr>
            <w:r>
              <w:rPr>
                <w:rFonts w:hint="eastAsia"/>
                <w:color w:val="000000"/>
                <w:sz w:val="24"/>
                <w:szCs w:val="24"/>
                <w:lang w:val="en-US"/>
              </w:rPr>
              <w:t>项</w:t>
            </w:r>
          </w:p>
          <w:p>
            <w:pPr>
              <w:pStyle w:val="10"/>
              <w:spacing w:line="254" w:lineRule="auto"/>
              <w:ind w:left="167" w:right="34"/>
              <w:rPr>
                <w:sz w:val="24"/>
              </w:rPr>
            </w:pP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19"/>
              </w:rPr>
            </w:pPr>
          </w:p>
          <w:p>
            <w:pPr>
              <w:widowControl/>
            </w:pPr>
            <w:r>
              <w:rPr>
                <w:rFonts w:hint="eastAsia"/>
                <w:color w:val="000000"/>
                <w:sz w:val="24"/>
                <w:szCs w:val="24"/>
                <w:lang w:val="en-US"/>
              </w:rPr>
              <w:t xml:space="preserve">对饮用水供水 </w:t>
            </w:r>
          </w:p>
          <w:p>
            <w:pPr>
              <w:widowControl/>
            </w:pPr>
            <w:r>
              <w:rPr>
                <w:rFonts w:hint="eastAsia"/>
                <w:color w:val="000000"/>
                <w:sz w:val="24"/>
                <w:szCs w:val="24"/>
                <w:lang w:val="en-US"/>
              </w:rPr>
              <w:t xml:space="preserve">单位供应的饮 </w:t>
            </w:r>
          </w:p>
          <w:p>
            <w:pPr>
              <w:widowControl/>
            </w:pPr>
            <w:r>
              <w:rPr>
                <w:rFonts w:hint="eastAsia"/>
                <w:color w:val="000000"/>
                <w:sz w:val="24"/>
                <w:szCs w:val="24"/>
                <w:lang w:val="en-US"/>
              </w:rPr>
              <w:t xml:space="preserve">用水不符合国 </w:t>
            </w:r>
          </w:p>
          <w:p>
            <w:pPr>
              <w:widowControl/>
            </w:pPr>
            <w:r>
              <w:rPr>
                <w:rFonts w:hint="eastAsia"/>
                <w:color w:val="000000"/>
                <w:sz w:val="24"/>
                <w:szCs w:val="24"/>
                <w:lang w:val="en-US"/>
              </w:rPr>
              <w:t xml:space="preserve">家规定的生活 </w:t>
            </w:r>
          </w:p>
          <w:p>
            <w:pPr>
              <w:widowControl/>
            </w:pPr>
            <w:r>
              <w:rPr>
                <w:rFonts w:hint="eastAsia"/>
                <w:color w:val="000000"/>
                <w:sz w:val="24"/>
                <w:szCs w:val="24"/>
                <w:lang w:val="en-US"/>
              </w:rPr>
              <w:t xml:space="preserve">饮用水卫生标 </w:t>
            </w:r>
          </w:p>
          <w:p>
            <w:pPr>
              <w:widowControl/>
            </w:pPr>
            <w:r>
              <w:rPr>
                <w:rFonts w:hint="eastAsia"/>
                <w:color w:val="000000"/>
                <w:sz w:val="24"/>
                <w:szCs w:val="24"/>
                <w:lang w:val="en-US"/>
              </w:rPr>
              <w:t>准的处罚</w:t>
            </w:r>
          </w:p>
          <w:p>
            <w:pPr>
              <w:pStyle w:val="10"/>
              <w:spacing w:before="1"/>
              <w:ind w:left="244"/>
              <w:rPr>
                <w:sz w:val="24"/>
              </w:rPr>
            </w:pPr>
            <w:r>
              <w:rPr>
                <w:sz w:val="24"/>
              </w:rPr>
              <w:t xml:space="preserve"> </w:t>
            </w:r>
          </w:p>
        </w:tc>
        <w:tc>
          <w:tcPr>
            <w:tcW w:w="4397" w:type="dxa"/>
          </w:tcPr>
          <w:p>
            <w:pPr>
              <w:pStyle w:val="10"/>
              <w:rPr>
                <w:b/>
                <w:sz w:val="24"/>
              </w:rPr>
            </w:pPr>
          </w:p>
          <w:p>
            <w:pPr>
              <w:pStyle w:val="10"/>
              <w:spacing w:before="170"/>
              <w:ind w:left="107"/>
              <w:rPr>
                <w:sz w:val="24"/>
              </w:rPr>
            </w:pPr>
            <w:r>
              <w:rPr>
                <w:sz w:val="24"/>
              </w:rPr>
              <w:t xml:space="preserve">法律法规和政策文件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23"/>
              </w:rPr>
            </w:pPr>
          </w:p>
          <w:p>
            <w:pPr>
              <w:widowControl/>
            </w:pPr>
            <w:r>
              <w:rPr>
                <w:rFonts w:hint="eastAsia"/>
                <w:color w:val="000000"/>
                <w:sz w:val="24"/>
                <w:szCs w:val="24"/>
                <w:lang w:val="en-US"/>
              </w:rPr>
              <w:t xml:space="preserve">【法律】《中华人民共和国行政处罚法》 </w:t>
            </w:r>
          </w:p>
          <w:p>
            <w:pPr>
              <w:widowControl/>
            </w:pPr>
            <w:r>
              <w:rPr>
                <w:rFonts w:hint="eastAsia"/>
                <w:color w:val="000000"/>
                <w:sz w:val="24"/>
                <w:szCs w:val="24"/>
                <w:lang w:val="en-US"/>
              </w:rPr>
              <w:t xml:space="preserve">（中华人民共和国主席令第 63 号 2009 年 8 </w:t>
            </w:r>
          </w:p>
          <w:p>
            <w:pPr>
              <w:widowControl/>
            </w:pPr>
            <w:r>
              <w:rPr>
                <w:rFonts w:hint="eastAsia"/>
                <w:color w:val="000000"/>
                <w:sz w:val="24"/>
                <w:szCs w:val="24"/>
                <w:lang w:val="en-US"/>
              </w:rPr>
              <w:t xml:space="preserve">月 27 日修正） </w:t>
            </w:r>
          </w:p>
          <w:p>
            <w:pPr>
              <w:widowControl/>
            </w:pPr>
            <w:r>
              <w:rPr>
                <w:rFonts w:hint="eastAsia"/>
                <w:color w:val="000000"/>
                <w:sz w:val="24"/>
                <w:szCs w:val="24"/>
                <w:lang w:val="en-US"/>
              </w:rPr>
              <w:t xml:space="preserve">【法律】《中华人民共和国传染病防治法》 </w:t>
            </w:r>
          </w:p>
          <w:p>
            <w:pPr>
              <w:widowControl/>
            </w:pPr>
            <w:r>
              <w:rPr>
                <w:rFonts w:hint="eastAsia"/>
                <w:color w:val="000000"/>
                <w:sz w:val="24"/>
                <w:szCs w:val="24"/>
                <w:lang w:val="en-US"/>
              </w:rPr>
              <w:t xml:space="preserve">（2013 年 6 月 29 日修正） </w:t>
            </w:r>
          </w:p>
          <w:p>
            <w:pPr>
              <w:widowControl/>
            </w:pPr>
            <w:r>
              <w:rPr>
                <w:rFonts w:hint="eastAsia"/>
                <w:color w:val="000000"/>
                <w:sz w:val="24"/>
                <w:szCs w:val="24"/>
                <w:lang w:val="en-US"/>
              </w:rPr>
              <w:t xml:space="preserve">【行政法规】《中华人民共和国传染病防治 </w:t>
            </w:r>
          </w:p>
          <w:p>
            <w:pPr>
              <w:widowControl/>
            </w:pPr>
            <w:r>
              <w:rPr>
                <w:rFonts w:hint="eastAsia"/>
                <w:color w:val="000000"/>
                <w:sz w:val="24"/>
                <w:szCs w:val="24"/>
                <w:lang w:val="en-US"/>
              </w:rPr>
              <w:t xml:space="preserve">法实施办法》（中华人民共和国卫生部令第 </w:t>
            </w:r>
          </w:p>
          <w:p>
            <w:pPr>
              <w:widowControl/>
            </w:pPr>
            <w:r>
              <w:rPr>
                <w:rFonts w:hint="eastAsia"/>
                <w:color w:val="000000"/>
                <w:sz w:val="24"/>
                <w:szCs w:val="24"/>
                <w:lang w:val="en-US"/>
              </w:rPr>
              <w:t xml:space="preserve">17 号） </w:t>
            </w:r>
          </w:p>
          <w:p>
            <w:pPr>
              <w:widowControl/>
            </w:pPr>
            <w:r>
              <w:rPr>
                <w:rFonts w:hint="eastAsia"/>
                <w:color w:val="000000"/>
                <w:sz w:val="24"/>
                <w:szCs w:val="24"/>
                <w:lang w:val="en-US"/>
              </w:rPr>
              <w:t xml:space="preserve">【部门规章及规范性文件】《生活饮用水卫 </w:t>
            </w:r>
          </w:p>
          <w:p>
            <w:pPr>
              <w:widowControl/>
            </w:pPr>
            <w:r>
              <w:rPr>
                <w:rFonts w:hint="eastAsia"/>
                <w:color w:val="000000"/>
                <w:sz w:val="24"/>
                <w:szCs w:val="24"/>
                <w:lang w:val="en-US"/>
              </w:rPr>
              <w:t xml:space="preserve">生监督管理办法》（建设部、中华人民共和 </w:t>
            </w:r>
          </w:p>
          <w:p>
            <w:pPr>
              <w:widowControl/>
            </w:pPr>
            <w:r>
              <w:rPr>
                <w:rFonts w:hint="eastAsia"/>
                <w:color w:val="000000"/>
                <w:sz w:val="24"/>
                <w:szCs w:val="24"/>
                <w:lang w:val="en-US"/>
              </w:rPr>
              <w:t xml:space="preserve">国卫生部令第 53 号） </w:t>
            </w:r>
          </w:p>
          <w:p>
            <w:pPr>
              <w:widowControl/>
            </w:pPr>
            <w:r>
              <w:rPr>
                <w:rFonts w:hint="eastAsia"/>
                <w:color w:val="000000"/>
                <w:sz w:val="24"/>
                <w:szCs w:val="24"/>
                <w:lang w:val="en-US"/>
              </w:rPr>
              <w:t xml:space="preserve">【部门规章及规范性文件】《卫生行政处罚 </w:t>
            </w:r>
          </w:p>
          <w:p>
            <w:pPr>
              <w:widowControl/>
            </w:pPr>
            <w:r>
              <w:rPr>
                <w:rFonts w:hint="eastAsia"/>
                <w:color w:val="000000"/>
                <w:sz w:val="24"/>
                <w:szCs w:val="24"/>
                <w:lang w:val="en-US"/>
              </w:rPr>
              <w:t xml:space="preserve">程序》（1997 年 6 月 19 日中华人民共和国卫 </w:t>
            </w:r>
          </w:p>
          <w:p>
            <w:pPr>
              <w:widowControl/>
            </w:pPr>
            <w:r>
              <w:rPr>
                <w:rFonts w:hint="eastAsia"/>
                <w:color w:val="000000"/>
                <w:sz w:val="24"/>
                <w:szCs w:val="24"/>
                <w:lang w:val="en-US"/>
              </w:rPr>
              <w:t>生部令第 53 号）</w:t>
            </w:r>
          </w:p>
          <w:p>
            <w:pPr>
              <w:pStyle w:val="10"/>
              <w:spacing w:line="254" w:lineRule="auto"/>
              <w:ind w:left="108" w:right="280"/>
              <w:jc w:val="both"/>
              <w:rPr>
                <w:sz w:val="24"/>
              </w:rPr>
            </w:pP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33"/>
              </w:rPr>
            </w:pPr>
          </w:p>
          <w:p>
            <w:pPr>
              <w:pStyle w:val="10"/>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p>
            <w:pPr>
              <w:pStyle w:val="10"/>
              <w:spacing w:line="254" w:lineRule="auto"/>
              <w:ind w:left="127" w:right="117" w:hanging="3"/>
              <w:jc w:val="center"/>
              <w:rPr>
                <w:sz w:val="24"/>
              </w:rPr>
            </w:pPr>
          </w:p>
          <w:p>
            <w:pPr>
              <w:pStyle w:val="10"/>
              <w:spacing w:line="254" w:lineRule="auto"/>
              <w:ind w:left="127" w:right="117" w:hanging="3"/>
              <w:jc w:val="center"/>
              <w:rPr>
                <w:sz w:val="24"/>
              </w:rPr>
            </w:pPr>
          </w:p>
          <w:p>
            <w:pPr>
              <w:pStyle w:val="10"/>
              <w:spacing w:line="254" w:lineRule="auto"/>
              <w:ind w:left="127" w:right="117" w:hanging="3"/>
              <w:jc w:val="center"/>
              <w:rPr>
                <w:sz w:val="24"/>
              </w:rPr>
            </w:pPr>
          </w:p>
          <w:p>
            <w:pPr>
              <w:pStyle w:val="10"/>
              <w:spacing w:line="254" w:lineRule="auto"/>
              <w:ind w:left="127" w:right="117" w:hanging="3"/>
              <w:jc w:val="center"/>
              <w:rPr>
                <w:sz w:val="24"/>
              </w:rPr>
            </w:pPr>
          </w:p>
          <w:p>
            <w:pPr>
              <w:pStyle w:val="10"/>
              <w:spacing w:line="254" w:lineRule="auto"/>
              <w:ind w:right="117"/>
              <w:jc w:val="both"/>
              <w:rPr>
                <w:sz w:val="24"/>
              </w:rPr>
            </w:pP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line="254" w:lineRule="auto"/>
              <w:ind w:left="158" w:right="144"/>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p>
            <w:pPr>
              <w:pStyle w:val="10"/>
              <w:spacing w:before="1" w:line="254" w:lineRule="auto"/>
              <w:ind w:left="158" w:right="144"/>
              <w:jc w:val="center"/>
              <w:rPr>
                <w:sz w:val="24"/>
              </w:rPr>
            </w:pPr>
          </w:p>
          <w:p>
            <w:pPr>
              <w:pStyle w:val="10"/>
              <w:spacing w:before="1" w:line="254" w:lineRule="auto"/>
              <w:ind w:left="158" w:right="144"/>
              <w:jc w:val="center"/>
              <w:rPr>
                <w:sz w:val="24"/>
              </w:rPr>
            </w:pPr>
          </w:p>
          <w:p>
            <w:pPr>
              <w:pStyle w:val="10"/>
              <w:spacing w:before="1" w:line="254" w:lineRule="auto"/>
              <w:ind w:left="158" w:right="144"/>
              <w:jc w:val="center"/>
              <w:rPr>
                <w:sz w:val="24"/>
              </w:rPr>
            </w:pP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21"/>
              </w:rPr>
            </w:pPr>
          </w:p>
          <w:p>
            <w:pPr>
              <w:pStyle w:val="10"/>
              <w:ind w:left="108" w:right="-29"/>
              <w:rPr>
                <w:sz w:val="24"/>
              </w:rPr>
            </w:pPr>
            <w:r>
              <w:rPr>
                <w:sz w:val="24"/>
              </w:rPr>
              <w:t xml:space="preserve">■政府网站 □政府公报         </w:t>
            </w:r>
          </w:p>
          <w:p>
            <w:pPr>
              <w:pStyle w:val="10"/>
              <w:spacing w:before="19"/>
              <w:ind w:left="108"/>
              <w:rPr>
                <w:sz w:val="24"/>
              </w:rPr>
            </w:pPr>
            <w:r>
              <w:rPr>
                <w:sz w:val="24"/>
              </w:rPr>
              <w:t xml:space="preserve">□两微一端 □发布会/听证会   </w:t>
            </w:r>
          </w:p>
          <w:p>
            <w:pPr>
              <w:pStyle w:val="10"/>
              <w:spacing w:before="19"/>
              <w:ind w:left="108" w:right="-29"/>
              <w:rPr>
                <w:sz w:val="24"/>
              </w:rPr>
            </w:pPr>
            <w:r>
              <w:rPr>
                <w:sz w:val="24"/>
              </w:rPr>
              <w:t xml:space="preserve">□广播电视 □纸质媒体         </w:t>
            </w:r>
          </w:p>
          <w:p>
            <w:pPr>
              <w:pStyle w:val="10"/>
              <w:spacing w:before="19"/>
              <w:ind w:left="108"/>
              <w:rPr>
                <w:sz w:val="24"/>
              </w:rPr>
            </w:pPr>
            <w:r>
              <w:rPr>
                <w:sz w:val="24"/>
              </w:rPr>
              <w:t xml:space="preserve">□公开查阅点 □政务服务中心 </w:t>
            </w:r>
          </w:p>
          <w:p>
            <w:pPr>
              <w:pStyle w:val="10"/>
              <w:spacing w:before="16"/>
              <w:ind w:left="108" w:right="-29"/>
              <w:rPr>
                <w:sz w:val="24"/>
              </w:rPr>
            </w:pPr>
            <w:r>
              <w:rPr>
                <w:sz w:val="24"/>
              </w:rPr>
              <w:t xml:space="preserve">□便民服务站 □入户/现场        </w:t>
            </w:r>
          </w:p>
          <w:p>
            <w:pPr>
              <w:pStyle w:val="10"/>
              <w:spacing w:before="19"/>
              <w:ind w:left="108" w:right="-29"/>
              <w:rPr>
                <w:sz w:val="24"/>
              </w:rPr>
            </w:pPr>
            <w:r>
              <w:rPr>
                <w:sz w:val="24"/>
              </w:rPr>
              <w:t xml:space="preserve">□社区/企事业单位/村公示栏（电子屏） </w:t>
            </w:r>
          </w:p>
          <w:p>
            <w:pPr>
              <w:pStyle w:val="10"/>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p>
            <w:pPr>
              <w:pStyle w:val="10"/>
              <w:tabs>
                <w:tab w:val="left" w:pos="4068"/>
              </w:tabs>
              <w:spacing w:before="19"/>
              <w:ind w:left="108"/>
              <w:rPr>
                <w:sz w:val="24"/>
              </w:rPr>
            </w:pPr>
          </w:p>
          <w:p>
            <w:pPr>
              <w:pStyle w:val="10"/>
              <w:tabs>
                <w:tab w:val="left" w:pos="4068"/>
              </w:tabs>
              <w:spacing w:before="19"/>
              <w:ind w:left="108"/>
              <w:rPr>
                <w:sz w:val="24"/>
              </w:rPr>
            </w:pP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5"/>
              <w:rPr>
                <w:sz w:val="24"/>
              </w:rPr>
            </w:pPr>
          </w:p>
          <w:p>
            <w:pPr>
              <w:pStyle w:val="10"/>
              <w:ind w:left="215"/>
              <w:rPr>
                <w:sz w:val="24"/>
              </w:rPr>
            </w:pPr>
          </w:p>
          <w:p>
            <w:pPr>
              <w:pStyle w:val="10"/>
              <w:ind w:left="215"/>
              <w:rPr>
                <w:sz w:val="24"/>
              </w:rPr>
            </w:pPr>
          </w:p>
          <w:p>
            <w:pPr>
              <w:pStyle w:val="10"/>
              <w:ind w:left="215"/>
              <w:rPr>
                <w:sz w:val="24"/>
              </w:rPr>
            </w:pPr>
          </w:p>
          <w:p>
            <w:pPr>
              <w:pStyle w:val="10"/>
              <w:ind w:left="215"/>
              <w:rPr>
                <w:sz w:val="24"/>
              </w:rPr>
            </w:pPr>
          </w:p>
          <w:p>
            <w:pPr>
              <w:pStyle w:val="10"/>
              <w:ind w:left="215"/>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4"/>
              <w:rPr>
                <w:sz w:val="24"/>
              </w:rPr>
            </w:pPr>
          </w:p>
          <w:p>
            <w:pPr>
              <w:pStyle w:val="10"/>
              <w:ind w:left="214"/>
              <w:rPr>
                <w:sz w:val="24"/>
              </w:rPr>
            </w:pPr>
          </w:p>
          <w:p>
            <w:pPr>
              <w:pStyle w:val="10"/>
              <w:ind w:left="214"/>
              <w:rPr>
                <w:sz w:val="24"/>
              </w:rPr>
            </w:pPr>
          </w:p>
          <w:p>
            <w:pPr>
              <w:pStyle w:val="10"/>
              <w:ind w:left="214"/>
              <w:rPr>
                <w:sz w:val="24"/>
              </w:rPr>
            </w:pPr>
          </w:p>
          <w:p>
            <w:pPr>
              <w:pStyle w:val="10"/>
              <w:ind w:left="214"/>
              <w:rPr>
                <w:sz w:val="24"/>
              </w:rPr>
            </w:pPr>
          </w:p>
          <w:p>
            <w:pPr>
              <w:pStyle w:val="10"/>
              <w:ind w:left="214"/>
              <w:rPr>
                <w:sz w:val="24"/>
              </w:rPr>
            </w:pPr>
          </w:p>
          <w:p>
            <w:pPr>
              <w:pStyle w:val="10"/>
              <w:ind w:left="214"/>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2" w:right="-72"/>
              <w:rPr>
                <w:sz w:val="24"/>
              </w:rPr>
            </w:pPr>
            <w:r>
              <w:rPr>
                <w:sz w:val="24"/>
              </w:rPr>
              <w:t>√</w:t>
            </w:r>
          </w:p>
          <w:p>
            <w:pPr>
              <w:pStyle w:val="10"/>
              <w:ind w:left="112" w:right="-72"/>
              <w:rPr>
                <w:sz w:val="24"/>
              </w:rPr>
            </w:pPr>
          </w:p>
          <w:p>
            <w:pPr>
              <w:pStyle w:val="10"/>
              <w:ind w:left="112" w:right="-72"/>
              <w:rPr>
                <w:sz w:val="24"/>
              </w:rPr>
            </w:pPr>
          </w:p>
          <w:p>
            <w:pPr>
              <w:pStyle w:val="10"/>
              <w:ind w:left="112" w:right="-72"/>
              <w:rPr>
                <w:sz w:val="24"/>
              </w:rPr>
            </w:pPr>
          </w:p>
          <w:p>
            <w:pPr>
              <w:pStyle w:val="10"/>
              <w:ind w:left="112" w:right="-72"/>
              <w:rPr>
                <w:sz w:val="24"/>
              </w:rPr>
            </w:pPr>
          </w:p>
          <w:p>
            <w:pPr>
              <w:pStyle w:val="10"/>
              <w:ind w:left="112" w:right="-72"/>
              <w:rPr>
                <w:sz w:val="24"/>
              </w:rPr>
            </w:pPr>
          </w:p>
          <w:p>
            <w:pPr>
              <w:pStyle w:val="10"/>
              <w:ind w:left="112" w:right="-72"/>
              <w:rPr>
                <w:sz w:val="24"/>
              </w:rPr>
            </w:pPr>
          </w:p>
          <w:p>
            <w:pPr>
              <w:pStyle w:val="10"/>
              <w:ind w:left="112" w:right="-7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Borders>
              <w:bottom w:val="single" w:color="auto" w:sz="4" w:space="0"/>
            </w:tcBorders>
          </w:tcPr>
          <w:p>
            <w:pPr>
              <w:pStyle w:val="10"/>
              <w:spacing w:before="10"/>
              <w:rPr>
                <w:b/>
                <w:sz w:val="34"/>
              </w:rPr>
            </w:pPr>
          </w:p>
          <w:p>
            <w:pPr>
              <w:widowControl/>
            </w:pPr>
            <w:r>
              <w:rPr>
                <w:rFonts w:hint="eastAsia"/>
                <w:color w:val="000000"/>
                <w:sz w:val="24"/>
                <w:szCs w:val="24"/>
                <w:lang w:val="en-US"/>
              </w:rPr>
              <w:t>投诉举报电话以及网上投诉渠道</w:t>
            </w:r>
          </w:p>
          <w:p>
            <w:pPr>
              <w:pStyle w:val="10"/>
              <w:spacing w:line="307" w:lineRule="exact"/>
              <w:ind w:left="107"/>
              <w:rPr>
                <w:sz w:val="24"/>
              </w:rPr>
            </w:pP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Borders>
              <w:top w:val="single" w:color="auto" w:sz="4" w:space="0"/>
            </w:tcBorders>
          </w:tcPr>
          <w:p>
            <w:pPr>
              <w:widowControl/>
            </w:pPr>
            <w:r>
              <w:rPr>
                <w:rFonts w:hint="eastAsia"/>
                <w:color w:val="000000"/>
                <w:sz w:val="24"/>
                <w:szCs w:val="24"/>
                <w:lang w:val="en-US"/>
              </w:rPr>
              <w:t xml:space="preserve">受理和立案信息，包括：案件受理记录、 </w:t>
            </w:r>
          </w:p>
          <w:p>
            <w:pPr>
              <w:widowControl/>
            </w:pPr>
            <w:r>
              <w:rPr>
                <w:rFonts w:hint="eastAsia"/>
                <w:color w:val="000000"/>
                <w:sz w:val="24"/>
                <w:szCs w:val="24"/>
                <w:lang w:val="en-US"/>
              </w:rPr>
              <w:t>立案报告</w:t>
            </w:r>
          </w:p>
          <w:p>
            <w:pPr>
              <w:pStyle w:val="10"/>
              <w:spacing w:line="307" w:lineRule="exact"/>
              <w:ind w:left="107"/>
              <w:rPr>
                <w:sz w:val="24"/>
              </w:rPr>
            </w:pP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30"/>
              </w:rPr>
            </w:pPr>
          </w:p>
          <w:p>
            <w:pPr>
              <w:widowControl/>
            </w:pPr>
            <w:r>
              <w:rPr>
                <w:rFonts w:hint="eastAsia"/>
                <w:color w:val="000000"/>
                <w:sz w:val="24"/>
                <w:szCs w:val="24"/>
                <w:lang w:val="en-US"/>
              </w:rPr>
              <w:t xml:space="preserve">告知信息，包括：行政处罚事先告知书、 </w:t>
            </w:r>
          </w:p>
          <w:p>
            <w:pPr>
              <w:widowControl/>
            </w:pPr>
            <w:r>
              <w:rPr>
                <w:rFonts w:hint="eastAsia"/>
                <w:color w:val="000000"/>
                <w:sz w:val="24"/>
                <w:szCs w:val="24"/>
                <w:lang w:val="en-US"/>
              </w:rPr>
              <w:t xml:space="preserve">听证告知书 </w:t>
            </w:r>
          </w:p>
          <w:p>
            <w:pPr>
              <w:pStyle w:val="10"/>
              <w:spacing w:line="254" w:lineRule="auto"/>
              <w:ind w:left="107" w:right="76"/>
              <w:rPr>
                <w:sz w:val="24"/>
              </w:rPr>
            </w:pP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19"/>
              </w:rPr>
            </w:pPr>
          </w:p>
          <w:p>
            <w:pPr>
              <w:widowControl/>
            </w:pPr>
            <w:r>
              <w:rPr>
                <w:rFonts w:hint="eastAsia"/>
                <w:color w:val="000000"/>
                <w:sz w:val="24"/>
                <w:szCs w:val="24"/>
                <w:lang w:val="en-US"/>
              </w:rPr>
              <w:t xml:space="preserve">行政处罚决定信息，包括： </w:t>
            </w:r>
          </w:p>
          <w:p>
            <w:pPr>
              <w:widowControl/>
            </w:pPr>
            <w:r>
              <w:rPr>
                <w:rFonts w:hint="eastAsia"/>
                <w:color w:val="000000"/>
                <w:sz w:val="24"/>
                <w:szCs w:val="24"/>
                <w:lang w:val="en-US"/>
              </w:rPr>
              <w:t xml:space="preserve">处罚决定书文号、处罚名称、处罚类别、 </w:t>
            </w:r>
          </w:p>
          <w:p>
            <w:pPr>
              <w:widowControl/>
            </w:pPr>
            <w:r>
              <w:rPr>
                <w:rFonts w:hint="eastAsia"/>
                <w:color w:val="000000"/>
                <w:sz w:val="24"/>
                <w:szCs w:val="24"/>
                <w:lang w:val="en-US"/>
              </w:rPr>
              <w:t xml:space="preserve">处罚事由、相对人名称、处罚依据、处罚 </w:t>
            </w:r>
          </w:p>
          <w:p>
            <w:pPr>
              <w:widowControl/>
            </w:pPr>
            <w:r>
              <w:rPr>
                <w:rFonts w:hint="eastAsia"/>
                <w:color w:val="000000"/>
                <w:sz w:val="24"/>
                <w:szCs w:val="24"/>
                <w:lang w:val="en-US"/>
              </w:rPr>
              <w:t>单位、处罚决定日期</w:t>
            </w:r>
          </w:p>
          <w:p>
            <w:pPr>
              <w:pStyle w:val="10"/>
              <w:spacing w:line="254" w:lineRule="auto"/>
              <w:ind w:left="107" w:right="198"/>
              <w:jc w:val="both"/>
              <w:rPr>
                <w:sz w:val="24"/>
              </w:rPr>
            </w:pPr>
          </w:p>
        </w:tc>
        <w:tc>
          <w:tcPr>
            <w:tcW w:w="4961" w:type="dxa"/>
            <w:vMerge w:val="continue"/>
            <w:tcBorders>
              <w:top w:val="nil"/>
            </w:tcBorders>
          </w:tcPr>
          <w:p>
            <w:pPr>
              <w:rPr>
                <w:sz w:val="2"/>
                <w:szCs w:val="2"/>
              </w:rPr>
            </w:pPr>
          </w:p>
        </w:tc>
        <w:tc>
          <w:tcPr>
            <w:tcW w:w="1277" w:type="dxa"/>
          </w:tcPr>
          <w:p>
            <w:pPr>
              <w:pStyle w:val="10"/>
              <w:rPr>
                <w:b/>
                <w:sz w:val="24"/>
              </w:rPr>
            </w:pPr>
          </w:p>
          <w:p>
            <w:pPr>
              <w:pStyle w:val="10"/>
              <w:jc w:val="center"/>
              <w:rPr>
                <w:b/>
                <w:sz w:val="24"/>
              </w:rPr>
            </w:pPr>
          </w:p>
          <w:p>
            <w:pPr>
              <w:pStyle w:val="10"/>
              <w:spacing w:line="254" w:lineRule="auto"/>
              <w:ind w:right="148"/>
              <w:jc w:val="center"/>
              <w:rPr>
                <w:sz w:val="24"/>
              </w:rPr>
            </w:pPr>
            <w:r>
              <w:rPr>
                <w:sz w:val="24"/>
              </w:rPr>
              <w:t>自信息形成或者变更之日起7 个工作日内予以公开</w:t>
            </w:r>
          </w:p>
        </w:tc>
        <w:tc>
          <w:tcPr>
            <w:tcW w:w="1275" w:type="dxa"/>
          </w:tcPr>
          <w:p>
            <w:pPr>
              <w:pStyle w:val="10"/>
              <w:rPr>
                <w:b/>
                <w:sz w:val="24"/>
              </w:rPr>
            </w:pPr>
          </w:p>
          <w:p>
            <w:pPr>
              <w:pStyle w:val="10"/>
              <w:rPr>
                <w:b/>
                <w:sz w:val="24"/>
              </w:rPr>
            </w:pPr>
          </w:p>
          <w:p>
            <w:pPr>
              <w:pStyle w:val="10"/>
              <w:spacing w:line="254" w:lineRule="auto"/>
              <w:ind w:right="144"/>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6" w:type="dxa"/>
          </w:tcPr>
          <w:p>
            <w:pPr>
              <w:pStyle w:val="10"/>
              <w:rPr>
                <w:b/>
                <w:sz w:val="24"/>
              </w:rPr>
            </w:pPr>
          </w:p>
          <w:p>
            <w:pPr>
              <w:widowControl/>
              <w:rPr>
                <w:color w:val="000000"/>
                <w:sz w:val="24"/>
                <w:szCs w:val="24"/>
                <w:lang w:val="en-US"/>
              </w:rPr>
            </w:pPr>
          </w:p>
          <w:p>
            <w:pPr>
              <w:widowControl/>
            </w:pPr>
            <w:r>
              <w:rPr>
                <w:rFonts w:hint="eastAsia"/>
                <w:color w:val="000000"/>
                <w:sz w:val="24"/>
                <w:szCs w:val="24"/>
                <w:lang w:val="en-US"/>
              </w:rPr>
              <w:t xml:space="preserve">■政府网站 □政府公报 </w:t>
            </w:r>
          </w:p>
          <w:p>
            <w:pPr>
              <w:widowControl/>
            </w:pPr>
            <w:r>
              <w:rPr>
                <w:rFonts w:hint="eastAsia"/>
                <w:color w:val="000000"/>
                <w:sz w:val="24"/>
                <w:szCs w:val="24"/>
                <w:lang w:val="en-US"/>
              </w:rPr>
              <w:t xml:space="preserve">□两微一端 □发布会/听证会 </w:t>
            </w:r>
          </w:p>
          <w:p>
            <w:pPr>
              <w:widowControl/>
            </w:pPr>
            <w:r>
              <w:rPr>
                <w:rFonts w:hint="eastAsia"/>
                <w:color w:val="000000"/>
                <w:sz w:val="24"/>
                <w:szCs w:val="24"/>
                <w:lang w:val="en-US"/>
              </w:rPr>
              <w:t xml:space="preserve">□广播电视 □纸质媒体 </w:t>
            </w:r>
          </w:p>
          <w:p>
            <w:pPr>
              <w:widowControl/>
            </w:pPr>
            <w:r>
              <w:rPr>
                <w:rFonts w:hint="eastAsia"/>
                <w:color w:val="000000"/>
                <w:sz w:val="24"/>
                <w:szCs w:val="24"/>
                <w:lang w:val="en-US"/>
              </w:rPr>
              <w:t xml:space="preserve">□公开查阅点 □政务服务中心 </w:t>
            </w:r>
          </w:p>
          <w:p>
            <w:pPr>
              <w:widowControl/>
            </w:pPr>
            <w:r>
              <w:rPr>
                <w:rFonts w:hint="eastAsia"/>
                <w:color w:val="000000"/>
                <w:sz w:val="24"/>
                <w:szCs w:val="24"/>
                <w:lang w:val="en-US"/>
              </w:rPr>
              <w:t xml:space="preserve">□便民服务站 □入户/现场 </w:t>
            </w:r>
          </w:p>
          <w:p>
            <w:pPr>
              <w:widowControl/>
            </w:pPr>
            <w:r>
              <w:rPr>
                <w:rFonts w:hint="eastAsia"/>
                <w:color w:val="000000"/>
                <w:sz w:val="24"/>
                <w:szCs w:val="24"/>
                <w:lang w:val="en-US"/>
              </w:rPr>
              <w:t xml:space="preserve">□社区/企事业单位/村公示栏（电子屏） </w:t>
            </w:r>
          </w:p>
          <w:p>
            <w:pPr>
              <w:widowControl/>
            </w:pPr>
            <w:r>
              <w:rPr>
                <w:rFonts w:hint="eastAsia"/>
                <w:color w:val="000000"/>
                <w:sz w:val="24"/>
                <w:szCs w:val="24"/>
                <w:lang w:val="en-US"/>
              </w:rPr>
              <w:t>□精准推送 □其他_________</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8"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5"/>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0"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4"/>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2" w:right="-7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sz w:val="26"/>
                <w:lang w:val="en-US"/>
              </w:rPr>
            </w:pPr>
            <w:r>
              <w:rPr>
                <w:rFonts w:hint="eastAsia"/>
                <w:sz w:val="26"/>
                <w:lang w:val="en-US"/>
              </w:rPr>
              <w:t>0119</w:t>
            </w:r>
          </w:p>
          <w:p>
            <w:pPr>
              <w:pStyle w:val="10"/>
              <w:rPr>
                <w:b/>
                <w:sz w:val="26"/>
              </w:rPr>
            </w:pPr>
          </w:p>
          <w:p>
            <w:pPr>
              <w:pStyle w:val="10"/>
              <w:spacing w:before="12"/>
              <w:rPr>
                <w:b/>
                <w:sz w:val="29"/>
              </w:rPr>
            </w:pPr>
          </w:p>
          <w:p>
            <w:pPr>
              <w:pStyle w:val="10"/>
              <w:ind w:left="110"/>
              <w:rPr>
                <w:rFonts w:ascii="Times New Roman"/>
                <w:sz w:val="24"/>
                <w:lang w:val="en-US"/>
              </w:rPr>
            </w:pP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12"/>
              <w:rPr>
                <w:b/>
                <w:sz w:val="18"/>
              </w:rPr>
            </w:pPr>
          </w:p>
          <w:p>
            <w:pPr>
              <w:widowControl/>
            </w:pPr>
            <w:r>
              <w:rPr>
                <w:rFonts w:ascii="TimesNewRomanPSMT" w:hAnsi="TimesNewRomanPSMT" w:eastAsia="TimesNewRomanPSMT" w:cs="TimesNewRomanPSMT"/>
                <w:color w:val="000000"/>
                <w:sz w:val="24"/>
                <w:szCs w:val="24"/>
                <w:lang w:val="en-US"/>
              </w:rPr>
              <w:t>0</w:t>
            </w:r>
            <w:r>
              <w:rPr>
                <w:rFonts w:hint="eastAsia" w:ascii="TimesNewRomanPSMT" w:hAnsi="TimesNewRomanPSMT" w:eastAsia="TimesNewRomanPSMT" w:cs="TimesNewRomanPSMT"/>
                <w:color w:val="000000"/>
                <w:sz w:val="24"/>
                <w:szCs w:val="24"/>
                <w:lang w:val="en-US"/>
              </w:rPr>
              <w:t>1</w:t>
            </w:r>
            <w:r>
              <w:rPr>
                <w:rFonts w:ascii="TimesNewRomanPSMT" w:hAnsi="TimesNewRomanPSMT" w:eastAsia="TimesNewRomanPSMT" w:cs="TimesNewRomanPSMT"/>
                <w:color w:val="000000"/>
                <w:sz w:val="24"/>
                <w:szCs w:val="24"/>
                <w:lang w:val="en-US"/>
              </w:rPr>
              <w:t xml:space="preserve"> </w:t>
            </w:r>
          </w:p>
          <w:p>
            <w:pPr>
              <w:widowControl/>
            </w:pPr>
            <w:r>
              <w:rPr>
                <w:rFonts w:hint="eastAsia"/>
                <w:color w:val="000000"/>
                <w:sz w:val="24"/>
                <w:szCs w:val="24"/>
                <w:lang w:val="en-US"/>
              </w:rPr>
              <w:t>行</w:t>
            </w:r>
          </w:p>
          <w:p>
            <w:pPr>
              <w:widowControl/>
            </w:pPr>
            <w:r>
              <w:rPr>
                <w:rFonts w:hint="eastAsia"/>
                <w:color w:val="000000"/>
                <w:sz w:val="24"/>
                <w:szCs w:val="24"/>
                <w:lang w:val="en-US"/>
              </w:rPr>
              <w:t>政</w:t>
            </w:r>
          </w:p>
          <w:p>
            <w:pPr>
              <w:widowControl/>
            </w:pPr>
            <w:r>
              <w:rPr>
                <w:rFonts w:hint="eastAsia"/>
                <w:color w:val="000000"/>
                <w:sz w:val="24"/>
                <w:szCs w:val="24"/>
                <w:lang w:val="en-US"/>
              </w:rPr>
              <w:t>处</w:t>
            </w:r>
          </w:p>
          <w:p>
            <w:pPr>
              <w:widowControl/>
            </w:pPr>
            <w:r>
              <w:rPr>
                <w:rFonts w:hint="eastAsia"/>
                <w:color w:val="000000"/>
                <w:sz w:val="24"/>
                <w:szCs w:val="24"/>
                <w:lang w:val="en-US"/>
              </w:rPr>
              <w:t>罚</w:t>
            </w:r>
          </w:p>
          <w:p>
            <w:pPr>
              <w:widowControl/>
            </w:pPr>
            <w:r>
              <w:rPr>
                <w:rFonts w:hint="eastAsia"/>
                <w:color w:val="000000"/>
                <w:sz w:val="24"/>
                <w:szCs w:val="24"/>
                <w:lang w:val="en-US"/>
              </w:rPr>
              <w:t>类</w:t>
            </w:r>
          </w:p>
          <w:p>
            <w:pPr>
              <w:widowControl/>
            </w:pPr>
            <w:r>
              <w:rPr>
                <w:rFonts w:hint="eastAsia"/>
                <w:color w:val="000000"/>
                <w:sz w:val="24"/>
                <w:szCs w:val="24"/>
                <w:lang w:val="en-US"/>
              </w:rPr>
              <w:t>事</w:t>
            </w:r>
          </w:p>
          <w:p>
            <w:pPr>
              <w:widowControl/>
            </w:pPr>
            <w:r>
              <w:rPr>
                <w:rFonts w:hint="eastAsia"/>
                <w:color w:val="000000"/>
                <w:sz w:val="24"/>
                <w:szCs w:val="24"/>
                <w:lang w:val="en-US"/>
              </w:rPr>
              <w:t>项</w:t>
            </w:r>
          </w:p>
          <w:p>
            <w:pPr>
              <w:pStyle w:val="10"/>
              <w:spacing w:before="35" w:line="254" w:lineRule="auto"/>
              <w:ind w:left="167" w:right="154"/>
              <w:jc w:val="both"/>
              <w:rPr>
                <w:sz w:val="24"/>
              </w:rPr>
            </w:pP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widowControl/>
              <w:rPr>
                <w:sz w:val="24"/>
                <w:szCs w:val="24"/>
              </w:rPr>
            </w:pPr>
            <w:r>
              <w:rPr>
                <w:rFonts w:hint="eastAsia"/>
                <w:color w:val="000000"/>
                <w:sz w:val="24"/>
                <w:szCs w:val="24"/>
                <w:lang w:val="en-US"/>
              </w:rPr>
              <w:t xml:space="preserve">托幼机构未按要求设立保健室、卫生室或者配备卫生保健人员；聘用未进行健康检查或者健康检查不合格的工作人员；未定期组织工作人员健康检查；招收未经健康检查或健康检查不合格的儿童入托幼机构；未严格按照《托儿所幼儿园卫生保健工作规范》开展卫生保健工作的处罚  </w:t>
            </w:r>
          </w:p>
          <w:p>
            <w:pPr>
              <w:pStyle w:val="10"/>
              <w:spacing w:before="19"/>
              <w:ind w:left="121" w:right="117"/>
              <w:jc w:val="center"/>
              <w:rPr>
                <w:sz w:val="24"/>
              </w:rPr>
            </w:pPr>
          </w:p>
        </w:tc>
        <w:tc>
          <w:tcPr>
            <w:tcW w:w="4397" w:type="dxa"/>
          </w:tcPr>
          <w:p>
            <w:pPr>
              <w:pStyle w:val="10"/>
              <w:rPr>
                <w:b/>
                <w:sz w:val="24"/>
              </w:rPr>
            </w:pPr>
          </w:p>
          <w:p>
            <w:pPr>
              <w:widowControl/>
            </w:pPr>
            <w:r>
              <w:rPr>
                <w:rFonts w:hint="eastAsia"/>
                <w:color w:val="000000"/>
                <w:sz w:val="24"/>
                <w:szCs w:val="24"/>
                <w:lang w:val="en-US"/>
              </w:rPr>
              <w:t xml:space="preserve">法律法规和政策文件 </w:t>
            </w:r>
          </w:p>
          <w:p>
            <w:pPr>
              <w:pStyle w:val="10"/>
              <w:spacing w:before="170"/>
              <w:ind w:left="107"/>
              <w:rPr>
                <w:sz w:val="24"/>
              </w:rPr>
            </w:pP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17"/>
              </w:rPr>
            </w:pPr>
          </w:p>
          <w:p>
            <w:pPr>
              <w:widowControl/>
              <w:rPr>
                <w:sz w:val="24"/>
              </w:rPr>
            </w:pPr>
            <w:r>
              <w:rPr>
                <w:rFonts w:hint="eastAsia"/>
                <w:sz w:val="24"/>
                <w:szCs w:val="24"/>
                <w:lang w:val="en-US"/>
              </w:rPr>
              <w:t>托儿所幼儿园卫生保健管理办法》（卫生部 教育部令第76号）</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widowControl/>
            </w:pPr>
            <w:r>
              <w:rPr>
                <w:rFonts w:hint="eastAsia"/>
                <w:color w:val="000000"/>
                <w:sz w:val="24"/>
                <w:szCs w:val="24"/>
                <w:lang w:val="en-US"/>
              </w:rPr>
              <w:t xml:space="preserve">自信息形 </w:t>
            </w:r>
          </w:p>
          <w:p>
            <w:pPr>
              <w:widowControl/>
            </w:pPr>
            <w:r>
              <w:rPr>
                <w:rFonts w:hint="eastAsia"/>
                <w:color w:val="000000"/>
                <w:sz w:val="24"/>
                <w:szCs w:val="24"/>
                <w:lang w:val="en-US"/>
              </w:rPr>
              <w:t xml:space="preserve">成或者变 </w:t>
            </w:r>
          </w:p>
          <w:p>
            <w:pPr>
              <w:widowControl/>
            </w:pPr>
            <w:r>
              <w:rPr>
                <w:rFonts w:hint="eastAsia"/>
                <w:color w:val="000000"/>
                <w:sz w:val="24"/>
                <w:szCs w:val="24"/>
                <w:lang w:val="en-US"/>
              </w:rPr>
              <w:t xml:space="preserve">更之日起 </w:t>
            </w:r>
          </w:p>
          <w:p>
            <w:pPr>
              <w:widowControl/>
            </w:pPr>
            <w:r>
              <w:rPr>
                <w:rFonts w:hint="eastAsia"/>
                <w:color w:val="000000"/>
                <w:sz w:val="24"/>
                <w:szCs w:val="24"/>
                <w:lang w:val="en-US"/>
              </w:rPr>
              <w:t xml:space="preserve">20 个工作 </w:t>
            </w:r>
          </w:p>
          <w:p>
            <w:pPr>
              <w:widowControl/>
            </w:pPr>
            <w:r>
              <w:rPr>
                <w:rFonts w:hint="eastAsia"/>
                <w:color w:val="000000"/>
                <w:sz w:val="24"/>
                <w:szCs w:val="24"/>
                <w:lang w:val="en-US"/>
              </w:rPr>
              <w:t xml:space="preserve">日内予以 </w:t>
            </w:r>
          </w:p>
          <w:p>
            <w:pPr>
              <w:widowControl/>
            </w:pPr>
            <w:r>
              <w:rPr>
                <w:rFonts w:hint="eastAsia"/>
                <w:color w:val="000000"/>
                <w:sz w:val="24"/>
                <w:szCs w:val="24"/>
                <w:lang w:val="en-US"/>
              </w:rPr>
              <w:t xml:space="preserve">公开 </w:t>
            </w:r>
          </w:p>
          <w:p>
            <w:pPr>
              <w:pStyle w:val="10"/>
              <w:rPr>
                <w:b/>
                <w:sz w:val="24"/>
              </w:rPr>
            </w:pPr>
          </w:p>
          <w:p>
            <w:pPr>
              <w:pStyle w:val="10"/>
              <w:rPr>
                <w:b/>
                <w:sz w:val="24"/>
              </w:rPr>
            </w:pPr>
          </w:p>
          <w:p>
            <w:pPr>
              <w:pStyle w:val="10"/>
              <w:rPr>
                <w:b/>
                <w:sz w:val="24"/>
              </w:rPr>
            </w:pPr>
          </w:p>
          <w:p>
            <w:pPr>
              <w:pStyle w:val="10"/>
              <w:spacing w:before="2"/>
              <w:rPr>
                <w:b/>
                <w:sz w:val="29"/>
              </w:rPr>
            </w:pPr>
          </w:p>
          <w:p>
            <w:pPr>
              <w:pStyle w:val="10"/>
              <w:spacing w:line="254" w:lineRule="auto"/>
              <w:ind w:left="156" w:right="148"/>
              <w:jc w:val="center"/>
              <w:rPr>
                <w:sz w:val="24"/>
              </w:rPr>
            </w:pP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spacing w:line="254" w:lineRule="auto"/>
              <w:ind w:left="158" w:right="144"/>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0"/>
              </w:rPr>
            </w:pPr>
          </w:p>
          <w:p>
            <w:pPr>
              <w:pStyle w:val="10"/>
              <w:spacing w:line="254" w:lineRule="auto"/>
              <w:ind w:left="158" w:right="144"/>
              <w:jc w:val="center"/>
              <w:rPr>
                <w:sz w:val="24"/>
              </w:rPr>
            </w:pP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1"/>
              </w:rPr>
            </w:pPr>
          </w:p>
          <w:p>
            <w:pPr>
              <w:widowControl/>
            </w:pPr>
            <w:r>
              <w:rPr>
                <w:rFonts w:hint="eastAsia"/>
                <w:color w:val="000000"/>
                <w:sz w:val="24"/>
                <w:szCs w:val="24"/>
                <w:lang w:val="en-US"/>
              </w:rPr>
              <w:t xml:space="preserve">■政府网站 □政府公报 </w:t>
            </w:r>
          </w:p>
          <w:p>
            <w:pPr>
              <w:widowControl/>
            </w:pPr>
            <w:r>
              <w:rPr>
                <w:rFonts w:hint="eastAsia"/>
                <w:color w:val="000000"/>
                <w:sz w:val="24"/>
                <w:szCs w:val="24"/>
                <w:lang w:val="en-US"/>
              </w:rPr>
              <w:t xml:space="preserve">□两微一端 □发布会/听证会 </w:t>
            </w:r>
          </w:p>
          <w:p>
            <w:pPr>
              <w:widowControl/>
            </w:pPr>
            <w:r>
              <w:rPr>
                <w:rFonts w:hint="eastAsia"/>
                <w:color w:val="000000"/>
                <w:sz w:val="24"/>
                <w:szCs w:val="24"/>
                <w:lang w:val="en-US"/>
              </w:rPr>
              <w:t xml:space="preserve">□广播电视 □纸质媒体 </w:t>
            </w:r>
          </w:p>
          <w:p>
            <w:pPr>
              <w:widowControl/>
            </w:pPr>
            <w:r>
              <w:rPr>
                <w:rFonts w:hint="eastAsia"/>
                <w:color w:val="000000"/>
                <w:sz w:val="24"/>
                <w:szCs w:val="24"/>
                <w:lang w:val="en-US"/>
              </w:rPr>
              <w:t xml:space="preserve">□公开查阅点 □政务服务中心 </w:t>
            </w:r>
          </w:p>
          <w:p>
            <w:pPr>
              <w:widowControl/>
            </w:pPr>
            <w:r>
              <w:rPr>
                <w:rFonts w:hint="eastAsia"/>
                <w:color w:val="000000"/>
                <w:sz w:val="24"/>
                <w:szCs w:val="24"/>
                <w:lang w:val="en-US"/>
              </w:rPr>
              <w:t xml:space="preserve">□便民服务站 □入户/现场 </w:t>
            </w:r>
          </w:p>
          <w:p>
            <w:pPr>
              <w:widowControl/>
            </w:pPr>
            <w:r>
              <w:rPr>
                <w:rFonts w:hint="eastAsia"/>
                <w:color w:val="000000"/>
                <w:sz w:val="24"/>
                <w:szCs w:val="24"/>
                <w:lang w:val="en-US"/>
              </w:rPr>
              <w:t xml:space="preserve">□社区/企事业单位/村公示栏（电子屏） </w:t>
            </w:r>
          </w:p>
          <w:p>
            <w:pPr>
              <w:widowControl/>
            </w:pPr>
            <w:r>
              <w:rPr>
                <w:rFonts w:hint="eastAsia"/>
                <w:color w:val="000000"/>
                <w:sz w:val="24"/>
                <w:szCs w:val="24"/>
                <w:lang w:val="en-US"/>
              </w:rPr>
              <w:t>□精准推送 □其他_________</w:t>
            </w:r>
          </w:p>
          <w:p>
            <w:pPr>
              <w:pStyle w:val="10"/>
              <w:rPr>
                <w:b/>
                <w:sz w:val="24"/>
              </w:rPr>
            </w:pPr>
          </w:p>
          <w:p>
            <w:pPr>
              <w:pStyle w:val="10"/>
              <w:rPr>
                <w:b/>
                <w:sz w:val="24"/>
              </w:rPr>
            </w:pPr>
          </w:p>
          <w:p>
            <w:pPr>
              <w:pStyle w:val="10"/>
              <w:rPr>
                <w:b/>
                <w:sz w:val="24"/>
              </w:rPr>
            </w:pPr>
          </w:p>
          <w:p>
            <w:pPr>
              <w:pStyle w:val="10"/>
              <w:tabs>
                <w:tab w:val="left" w:pos="4068"/>
              </w:tabs>
              <w:spacing w:before="16"/>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08" w:right="-58"/>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5"/>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5"/>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0" w:right="-58"/>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4"/>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4"/>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2" w:right="-72"/>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2" w:right="-7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21"/>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8"/>
              <w:rPr>
                <w:b/>
                <w:sz w:val="34"/>
              </w:rPr>
            </w:pPr>
          </w:p>
          <w:p>
            <w:pPr>
              <w:pStyle w:val="10"/>
              <w:spacing w:line="254" w:lineRule="auto"/>
              <w:ind w:left="107" w:right="-29"/>
              <w:rPr>
                <w:sz w:val="24"/>
              </w:rPr>
            </w:pPr>
            <w:r>
              <w:rPr>
                <w:color w:val="000000"/>
                <w:sz w:val="23"/>
              </w:rPr>
              <w:t>投诉举报电话以及网上投诉渠道</w:t>
            </w:r>
          </w:p>
        </w:tc>
        <w:tc>
          <w:tcPr>
            <w:tcW w:w="4961" w:type="dxa"/>
            <w:vMerge w:val="continue"/>
            <w:tcBorders>
              <w:top w:val="nil"/>
            </w:tcBorders>
          </w:tcPr>
          <w:p>
            <w:pPr>
              <w:rPr>
                <w:sz w:val="2"/>
                <w:szCs w:val="2"/>
              </w:rPr>
            </w:pPr>
          </w:p>
        </w:tc>
        <w:tc>
          <w:tcPr>
            <w:tcW w:w="1277" w:type="dxa"/>
            <w:vMerge w:val="continue"/>
          </w:tcPr>
          <w:p>
            <w:pPr>
              <w:rPr>
                <w:sz w:val="2"/>
                <w:szCs w:val="2"/>
              </w:rPr>
            </w:pPr>
          </w:p>
        </w:tc>
        <w:tc>
          <w:tcPr>
            <w:tcW w:w="1275" w:type="dxa"/>
            <w:vMerge w:val="continue"/>
          </w:tcPr>
          <w:p>
            <w:pPr>
              <w:rPr>
                <w:sz w:val="2"/>
                <w:szCs w:val="2"/>
              </w:rPr>
            </w:pPr>
          </w:p>
        </w:tc>
        <w:tc>
          <w:tcPr>
            <w:tcW w:w="4536" w:type="dxa"/>
            <w:vMerge w:val="continue"/>
          </w:tcPr>
          <w:p>
            <w:pPr>
              <w:rPr>
                <w:sz w:val="2"/>
                <w:szCs w:val="2"/>
              </w:rPr>
            </w:pPr>
          </w:p>
        </w:tc>
        <w:tc>
          <w:tcPr>
            <w:tcW w:w="424" w:type="dxa"/>
            <w:vMerge w:val="continue"/>
          </w:tcPr>
          <w:p>
            <w:pPr>
              <w:rPr>
                <w:sz w:val="2"/>
                <w:szCs w:val="2"/>
              </w:rPr>
            </w:pPr>
          </w:p>
        </w:tc>
        <w:tc>
          <w:tcPr>
            <w:tcW w:w="426" w:type="dxa"/>
            <w:vMerge w:val="continue"/>
          </w:tcPr>
          <w:p>
            <w:pPr>
              <w:rPr>
                <w:sz w:val="2"/>
                <w:szCs w:val="2"/>
              </w:rPr>
            </w:pPr>
          </w:p>
        </w:tc>
        <w:tc>
          <w:tcPr>
            <w:tcW w:w="424" w:type="dxa"/>
            <w:vMerge w:val="continue"/>
          </w:tcPr>
          <w:p>
            <w:pPr>
              <w:rPr>
                <w:sz w:val="2"/>
                <w:szCs w:val="2"/>
              </w:rPr>
            </w:pPr>
          </w:p>
        </w:tc>
        <w:tc>
          <w:tcPr>
            <w:tcW w:w="424" w:type="dxa"/>
            <w:vMerge w:val="continue"/>
          </w:tcPr>
          <w:p>
            <w:pPr>
              <w:rPr>
                <w:sz w:val="2"/>
                <w:szCs w:val="2"/>
              </w:rPr>
            </w:pPr>
          </w:p>
        </w:tc>
        <w:tc>
          <w:tcPr>
            <w:tcW w:w="424" w:type="dxa"/>
            <w:vMerge w:val="continue"/>
          </w:tcPr>
          <w:p>
            <w:pPr>
              <w:rPr>
                <w:sz w:val="2"/>
                <w:szCs w:val="2"/>
              </w:rPr>
            </w:pPr>
          </w:p>
        </w:tc>
        <w:tc>
          <w:tcPr>
            <w:tcW w:w="42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30"/>
              </w:rPr>
            </w:pPr>
          </w:p>
          <w:p>
            <w:pPr>
              <w:pStyle w:val="10"/>
              <w:spacing w:line="254" w:lineRule="auto"/>
              <w:ind w:left="107" w:right="97"/>
              <w:rPr>
                <w:sz w:val="24"/>
              </w:rPr>
            </w:pPr>
            <w:r>
              <w:rPr>
                <w:color w:val="000000"/>
                <w:sz w:val="23"/>
              </w:rPr>
              <w:t>受理和立案信息，包括：案件受理记录、立案报告</w:t>
            </w:r>
          </w:p>
        </w:tc>
        <w:tc>
          <w:tcPr>
            <w:tcW w:w="4961" w:type="dxa"/>
            <w:vMerge w:val="continue"/>
            <w:tcBorders>
              <w:top w:val="nil"/>
            </w:tcBorders>
          </w:tcPr>
          <w:p>
            <w:pPr>
              <w:rPr>
                <w:sz w:val="2"/>
                <w:szCs w:val="2"/>
              </w:rPr>
            </w:pPr>
          </w:p>
        </w:tc>
        <w:tc>
          <w:tcPr>
            <w:tcW w:w="1277" w:type="dxa"/>
            <w:vMerge w:val="continue"/>
          </w:tcPr>
          <w:p>
            <w:pPr>
              <w:rPr>
                <w:sz w:val="2"/>
                <w:szCs w:val="2"/>
              </w:rPr>
            </w:pPr>
          </w:p>
        </w:tc>
        <w:tc>
          <w:tcPr>
            <w:tcW w:w="1275" w:type="dxa"/>
            <w:vMerge w:val="continue"/>
          </w:tcPr>
          <w:p>
            <w:pPr>
              <w:rPr>
                <w:sz w:val="2"/>
                <w:szCs w:val="2"/>
              </w:rPr>
            </w:pPr>
          </w:p>
        </w:tc>
        <w:tc>
          <w:tcPr>
            <w:tcW w:w="4536" w:type="dxa"/>
            <w:vMerge w:val="continue"/>
          </w:tcPr>
          <w:p>
            <w:pPr>
              <w:rPr>
                <w:sz w:val="2"/>
                <w:szCs w:val="2"/>
              </w:rPr>
            </w:pPr>
          </w:p>
        </w:tc>
        <w:tc>
          <w:tcPr>
            <w:tcW w:w="424" w:type="dxa"/>
            <w:vMerge w:val="continue"/>
          </w:tcPr>
          <w:p>
            <w:pPr>
              <w:rPr>
                <w:sz w:val="2"/>
                <w:szCs w:val="2"/>
              </w:rPr>
            </w:pPr>
          </w:p>
        </w:tc>
        <w:tc>
          <w:tcPr>
            <w:tcW w:w="426" w:type="dxa"/>
            <w:vMerge w:val="continue"/>
          </w:tcPr>
          <w:p>
            <w:pPr>
              <w:rPr>
                <w:sz w:val="2"/>
                <w:szCs w:val="2"/>
              </w:rPr>
            </w:pPr>
          </w:p>
        </w:tc>
        <w:tc>
          <w:tcPr>
            <w:tcW w:w="424" w:type="dxa"/>
            <w:vMerge w:val="continue"/>
          </w:tcPr>
          <w:p>
            <w:pPr>
              <w:rPr>
                <w:sz w:val="2"/>
                <w:szCs w:val="2"/>
              </w:rPr>
            </w:pPr>
          </w:p>
        </w:tc>
        <w:tc>
          <w:tcPr>
            <w:tcW w:w="424" w:type="dxa"/>
            <w:vMerge w:val="continue"/>
          </w:tcPr>
          <w:p>
            <w:pPr>
              <w:rPr>
                <w:sz w:val="2"/>
                <w:szCs w:val="2"/>
              </w:rPr>
            </w:pPr>
          </w:p>
        </w:tc>
        <w:tc>
          <w:tcPr>
            <w:tcW w:w="424" w:type="dxa"/>
            <w:vMerge w:val="continue"/>
          </w:tcPr>
          <w:p>
            <w:pPr>
              <w:rPr>
                <w:sz w:val="2"/>
                <w:szCs w:val="2"/>
              </w:rPr>
            </w:pPr>
          </w:p>
        </w:tc>
        <w:tc>
          <w:tcPr>
            <w:tcW w:w="42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19"/>
              </w:rPr>
            </w:pPr>
          </w:p>
          <w:p>
            <w:pPr>
              <w:widowControl/>
            </w:pPr>
            <w:r>
              <w:rPr>
                <w:rFonts w:hint="eastAsia"/>
                <w:color w:val="000000"/>
                <w:sz w:val="24"/>
                <w:szCs w:val="24"/>
                <w:lang w:val="en-US"/>
              </w:rPr>
              <w:t xml:space="preserve">行政处罚决定信息，包括： </w:t>
            </w:r>
          </w:p>
          <w:p>
            <w:pPr>
              <w:widowControl/>
            </w:pPr>
            <w:r>
              <w:rPr>
                <w:rFonts w:hint="eastAsia"/>
                <w:color w:val="000000"/>
                <w:sz w:val="24"/>
                <w:szCs w:val="24"/>
                <w:lang w:val="en-US"/>
              </w:rPr>
              <w:t xml:space="preserve">处罚决定书文号、处罚名称、处罚类别、 </w:t>
            </w:r>
          </w:p>
          <w:p>
            <w:pPr>
              <w:widowControl/>
            </w:pPr>
            <w:r>
              <w:rPr>
                <w:rFonts w:hint="eastAsia"/>
                <w:color w:val="000000"/>
                <w:sz w:val="24"/>
                <w:szCs w:val="24"/>
                <w:lang w:val="en-US"/>
              </w:rPr>
              <w:t xml:space="preserve">处罚事由、相对人名称、处罚依据、处罚 </w:t>
            </w:r>
          </w:p>
          <w:p>
            <w:pPr>
              <w:widowControl/>
            </w:pPr>
            <w:r>
              <w:rPr>
                <w:rFonts w:hint="eastAsia"/>
                <w:color w:val="000000"/>
                <w:sz w:val="24"/>
                <w:szCs w:val="24"/>
                <w:lang w:val="en-US"/>
              </w:rPr>
              <w:t>单位、处罚决定日期</w:t>
            </w:r>
          </w:p>
          <w:p>
            <w:pPr>
              <w:widowControl/>
            </w:pPr>
            <w:r>
              <w:rPr>
                <w:rFonts w:hint="eastAsia"/>
                <w:color w:val="000000"/>
                <w:sz w:val="24"/>
                <w:szCs w:val="24"/>
                <w:lang w:val="en-US"/>
              </w:rPr>
              <w:t xml:space="preserve"> </w:t>
            </w:r>
          </w:p>
          <w:p>
            <w:pPr>
              <w:pStyle w:val="10"/>
              <w:spacing w:line="254" w:lineRule="auto"/>
              <w:ind w:left="107" w:right="93"/>
              <w:jc w:val="both"/>
              <w:rPr>
                <w:sz w:val="24"/>
              </w:rPr>
            </w:pPr>
          </w:p>
        </w:tc>
        <w:tc>
          <w:tcPr>
            <w:tcW w:w="4961" w:type="dxa"/>
            <w:vMerge w:val="continue"/>
            <w:tcBorders>
              <w:top w:val="nil"/>
            </w:tcBorders>
          </w:tcPr>
          <w:p>
            <w:pPr>
              <w:rPr>
                <w:sz w:val="2"/>
                <w:szCs w:val="2"/>
              </w:rPr>
            </w:pPr>
          </w:p>
        </w:tc>
        <w:tc>
          <w:tcPr>
            <w:tcW w:w="1277" w:type="dxa"/>
            <w:vMerge w:val="continue"/>
          </w:tcPr>
          <w:p>
            <w:pPr>
              <w:pStyle w:val="10"/>
              <w:spacing w:line="254" w:lineRule="auto"/>
              <w:ind w:left="156" w:right="148"/>
              <w:jc w:val="center"/>
              <w:rPr>
                <w:sz w:val="24"/>
              </w:rPr>
            </w:pPr>
          </w:p>
        </w:tc>
        <w:tc>
          <w:tcPr>
            <w:tcW w:w="1275" w:type="dxa"/>
            <w:vMerge w:val="continue"/>
          </w:tcPr>
          <w:p>
            <w:pPr>
              <w:pStyle w:val="10"/>
              <w:spacing w:line="254" w:lineRule="auto"/>
              <w:ind w:left="158" w:right="144"/>
              <w:jc w:val="center"/>
              <w:rPr>
                <w:sz w:val="24"/>
              </w:rPr>
            </w:pPr>
          </w:p>
        </w:tc>
        <w:tc>
          <w:tcPr>
            <w:tcW w:w="4536" w:type="dxa"/>
            <w:vMerge w:val="continue"/>
          </w:tcPr>
          <w:p>
            <w:pPr>
              <w:pStyle w:val="10"/>
              <w:tabs>
                <w:tab w:val="left" w:pos="4068"/>
              </w:tabs>
              <w:spacing w:before="16"/>
              <w:ind w:left="108"/>
              <w:rPr>
                <w:sz w:val="24"/>
              </w:rPr>
            </w:pPr>
          </w:p>
        </w:tc>
        <w:tc>
          <w:tcPr>
            <w:tcW w:w="424" w:type="dxa"/>
            <w:vMerge w:val="continue"/>
          </w:tcPr>
          <w:p>
            <w:pPr>
              <w:pStyle w:val="10"/>
              <w:ind w:left="108" w:right="-58"/>
              <w:rPr>
                <w:sz w:val="24"/>
              </w:rPr>
            </w:pPr>
          </w:p>
        </w:tc>
        <w:tc>
          <w:tcPr>
            <w:tcW w:w="426" w:type="dxa"/>
            <w:vMerge w:val="continue"/>
          </w:tcPr>
          <w:p>
            <w:pPr>
              <w:pStyle w:val="10"/>
              <w:ind w:left="215"/>
              <w:rPr>
                <w:sz w:val="24"/>
              </w:rPr>
            </w:pPr>
          </w:p>
        </w:tc>
        <w:tc>
          <w:tcPr>
            <w:tcW w:w="424" w:type="dxa"/>
            <w:vMerge w:val="continue"/>
          </w:tcPr>
          <w:p>
            <w:pPr>
              <w:pStyle w:val="10"/>
              <w:ind w:left="110" w:right="-58"/>
              <w:rPr>
                <w:sz w:val="24"/>
              </w:rPr>
            </w:pPr>
          </w:p>
        </w:tc>
        <w:tc>
          <w:tcPr>
            <w:tcW w:w="424" w:type="dxa"/>
            <w:vMerge w:val="continue"/>
          </w:tcPr>
          <w:p>
            <w:pPr>
              <w:pStyle w:val="10"/>
              <w:ind w:left="214"/>
              <w:rPr>
                <w:sz w:val="24"/>
              </w:rPr>
            </w:pPr>
          </w:p>
        </w:tc>
        <w:tc>
          <w:tcPr>
            <w:tcW w:w="424" w:type="dxa"/>
            <w:vMerge w:val="continue"/>
          </w:tcPr>
          <w:p>
            <w:pPr>
              <w:pStyle w:val="10"/>
              <w:ind w:left="112" w:right="-72"/>
              <w:rPr>
                <w:sz w:val="24"/>
              </w:rPr>
            </w:pPr>
          </w:p>
        </w:tc>
        <w:tc>
          <w:tcPr>
            <w:tcW w:w="426" w:type="dxa"/>
            <w:vMerge w:val="continue"/>
          </w:tcPr>
          <w:p>
            <w:pPr>
              <w:pStyle w:val="10"/>
              <w:ind w:left="221"/>
              <w:rPr>
                <w:sz w:val="24"/>
              </w:rPr>
            </w:pPr>
          </w:p>
        </w:tc>
      </w:tr>
    </w:tbl>
    <w:p/>
    <w:tbl>
      <w:tblPr>
        <w:tblStyle w:val="6"/>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lang w:val="en-US"/>
              </w:rPr>
            </w:pPr>
            <w:r>
              <w:rPr>
                <w:rFonts w:hint="eastAsia"/>
                <w:b/>
                <w:sz w:val="26"/>
                <w:lang w:val="en-US"/>
              </w:rPr>
              <w:t>0120</w:t>
            </w:r>
          </w:p>
          <w:p>
            <w:pPr>
              <w:pStyle w:val="10"/>
              <w:rPr>
                <w:b/>
                <w:sz w:val="26"/>
              </w:rPr>
            </w:pPr>
          </w:p>
          <w:p>
            <w:pPr>
              <w:pStyle w:val="10"/>
              <w:spacing w:before="12"/>
              <w:rPr>
                <w:b/>
                <w:sz w:val="29"/>
              </w:rPr>
            </w:pPr>
          </w:p>
          <w:p>
            <w:pPr>
              <w:pStyle w:val="10"/>
              <w:ind w:left="110"/>
              <w:rPr>
                <w:rFonts w:ascii="Times New Roman"/>
                <w:sz w:val="24"/>
                <w:lang w:val="en-US"/>
              </w:rPr>
            </w:pP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12"/>
              <w:rPr>
                <w:b/>
                <w:sz w:val="18"/>
              </w:rPr>
            </w:pPr>
          </w:p>
          <w:p>
            <w:pPr>
              <w:widowControl/>
            </w:pPr>
            <w:r>
              <w:rPr>
                <w:rFonts w:ascii="TimesNewRomanPSMT" w:hAnsi="TimesNewRomanPSMT" w:eastAsia="TimesNewRomanPSMT" w:cs="TimesNewRomanPSMT"/>
                <w:color w:val="000000"/>
                <w:sz w:val="24"/>
                <w:szCs w:val="24"/>
                <w:lang w:val="en-US"/>
              </w:rPr>
              <w:t>0</w:t>
            </w:r>
            <w:r>
              <w:rPr>
                <w:rFonts w:hint="eastAsia" w:ascii="TimesNewRomanPSMT" w:hAnsi="TimesNewRomanPSMT" w:eastAsia="TimesNewRomanPSMT" w:cs="TimesNewRomanPSMT"/>
                <w:color w:val="000000"/>
                <w:sz w:val="24"/>
                <w:szCs w:val="24"/>
                <w:lang w:val="en-US"/>
              </w:rPr>
              <w:t>1</w:t>
            </w:r>
            <w:r>
              <w:rPr>
                <w:rFonts w:ascii="TimesNewRomanPSMT" w:hAnsi="TimesNewRomanPSMT" w:eastAsia="TimesNewRomanPSMT" w:cs="TimesNewRomanPSMT"/>
                <w:color w:val="000000"/>
                <w:sz w:val="24"/>
                <w:szCs w:val="24"/>
                <w:lang w:val="en-US"/>
              </w:rPr>
              <w:t xml:space="preserve"> </w:t>
            </w:r>
          </w:p>
          <w:p>
            <w:pPr>
              <w:widowControl/>
            </w:pPr>
            <w:r>
              <w:rPr>
                <w:rFonts w:hint="eastAsia"/>
                <w:color w:val="000000"/>
                <w:sz w:val="24"/>
                <w:szCs w:val="24"/>
                <w:lang w:val="en-US"/>
              </w:rPr>
              <w:t>行</w:t>
            </w:r>
          </w:p>
          <w:p>
            <w:pPr>
              <w:widowControl/>
            </w:pPr>
            <w:r>
              <w:rPr>
                <w:rFonts w:hint="eastAsia"/>
                <w:color w:val="000000"/>
                <w:sz w:val="24"/>
                <w:szCs w:val="24"/>
                <w:lang w:val="en-US"/>
              </w:rPr>
              <w:t>政</w:t>
            </w:r>
          </w:p>
          <w:p>
            <w:pPr>
              <w:widowControl/>
            </w:pPr>
            <w:r>
              <w:rPr>
                <w:rFonts w:hint="eastAsia"/>
                <w:color w:val="000000"/>
                <w:sz w:val="24"/>
                <w:szCs w:val="24"/>
                <w:lang w:val="en-US"/>
              </w:rPr>
              <w:t>处</w:t>
            </w:r>
          </w:p>
          <w:p>
            <w:pPr>
              <w:widowControl/>
            </w:pPr>
            <w:r>
              <w:rPr>
                <w:rFonts w:hint="eastAsia"/>
                <w:color w:val="000000"/>
                <w:sz w:val="24"/>
                <w:szCs w:val="24"/>
                <w:lang w:val="en-US"/>
              </w:rPr>
              <w:t>罚</w:t>
            </w:r>
          </w:p>
          <w:p>
            <w:pPr>
              <w:widowControl/>
            </w:pPr>
            <w:r>
              <w:rPr>
                <w:rFonts w:hint="eastAsia"/>
                <w:color w:val="000000"/>
                <w:sz w:val="24"/>
                <w:szCs w:val="24"/>
                <w:lang w:val="en-US"/>
              </w:rPr>
              <w:t>类</w:t>
            </w:r>
          </w:p>
          <w:p>
            <w:pPr>
              <w:widowControl/>
            </w:pPr>
            <w:r>
              <w:rPr>
                <w:rFonts w:hint="eastAsia"/>
                <w:color w:val="000000"/>
                <w:sz w:val="24"/>
                <w:szCs w:val="24"/>
                <w:lang w:val="en-US"/>
              </w:rPr>
              <w:t>事</w:t>
            </w:r>
          </w:p>
          <w:p>
            <w:pPr>
              <w:widowControl/>
            </w:pPr>
            <w:r>
              <w:rPr>
                <w:rFonts w:hint="eastAsia"/>
                <w:color w:val="000000"/>
                <w:sz w:val="24"/>
                <w:szCs w:val="24"/>
                <w:lang w:val="en-US"/>
              </w:rPr>
              <w:t>项</w:t>
            </w:r>
          </w:p>
          <w:p>
            <w:pPr>
              <w:pStyle w:val="10"/>
              <w:spacing w:before="35" w:line="254" w:lineRule="auto"/>
              <w:ind w:left="167" w:right="154"/>
              <w:jc w:val="both"/>
              <w:rPr>
                <w:sz w:val="24"/>
              </w:rPr>
            </w:pP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widowControl/>
              <w:rPr>
                <w:sz w:val="24"/>
                <w:szCs w:val="24"/>
              </w:rPr>
            </w:pPr>
            <w:r>
              <w:rPr>
                <w:rFonts w:hint="eastAsia"/>
                <w:color w:val="000000"/>
                <w:sz w:val="24"/>
                <w:szCs w:val="24"/>
                <w:lang w:val="en-US"/>
              </w:rPr>
              <w:t xml:space="preserve">托儿所、幼儿园未按规定建立健全卫生保健制度、查验婴幼儿保健手册（卡）和健康检查表、聘用使用未取得健康证明书工作人员的处罚  </w:t>
            </w:r>
          </w:p>
          <w:p>
            <w:pPr>
              <w:pStyle w:val="10"/>
              <w:spacing w:before="19"/>
              <w:ind w:left="121" w:right="117"/>
              <w:jc w:val="center"/>
              <w:rPr>
                <w:sz w:val="24"/>
              </w:rPr>
            </w:pPr>
          </w:p>
        </w:tc>
        <w:tc>
          <w:tcPr>
            <w:tcW w:w="4397" w:type="dxa"/>
          </w:tcPr>
          <w:p>
            <w:pPr>
              <w:pStyle w:val="10"/>
              <w:rPr>
                <w:b/>
                <w:sz w:val="24"/>
              </w:rPr>
            </w:pPr>
          </w:p>
          <w:p>
            <w:pPr>
              <w:widowControl/>
            </w:pPr>
            <w:r>
              <w:rPr>
                <w:rFonts w:hint="eastAsia"/>
                <w:color w:val="000000"/>
                <w:sz w:val="24"/>
                <w:szCs w:val="24"/>
                <w:lang w:val="en-US"/>
              </w:rPr>
              <w:t xml:space="preserve">法律法规和政策文件 </w:t>
            </w:r>
          </w:p>
          <w:p>
            <w:pPr>
              <w:pStyle w:val="10"/>
              <w:spacing w:before="170"/>
              <w:ind w:left="107"/>
              <w:rPr>
                <w:sz w:val="24"/>
              </w:rPr>
            </w:pP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17"/>
              </w:rPr>
            </w:pPr>
          </w:p>
          <w:p>
            <w:pPr>
              <w:widowControl/>
              <w:spacing w:line="510" w:lineRule="atLeast"/>
              <w:jc w:val="both"/>
              <w:rPr>
                <w:sz w:val="24"/>
                <w:szCs w:val="24"/>
              </w:rPr>
            </w:pPr>
            <w:r>
              <w:rPr>
                <w:rFonts w:hint="eastAsia" w:cs="黑体"/>
                <w:sz w:val="24"/>
                <w:szCs w:val="24"/>
                <w:lang w:val="en-US"/>
              </w:rPr>
              <w:t>《托儿所幼儿园卫生保健管理办法》</w:t>
            </w:r>
            <w:r>
              <w:rPr>
                <w:sz w:val="24"/>
                <w:szCs w:val="24"/>
                <w:lang w:val="en-US"/>
              </w:rPr>
              <w:t>（卫生部 教育部令第76号）</w:t>
            </w:r>
          </w:p>
          <w:p>
            <w:pPr>
              <w:widowControl/>
            </w:pPr>
            <w:r>
              <w:rPr>
                <w:rFonts w:hint="eastAsia"/>
                <w:color w:val="000000"/>
                <w:sz w:val="24"/>
                <w:szCs w:val="24"/>
                <w:lang w:val="en-US"/>
              </w:rPr>
              <w:t xml:space="preserve"> </w:t>
            </w:r>
          </w:p>
          <w:p>
            <w:pPr>
              <w:pStyle w:val="10"/>
              <w:spacing w:before="19" w:line="254" w:lineRule="auto"/>
              <w:ind w:left="108" w:right="280"/>
              <w:jc w:val="both"/>
              <w:rPr>
                <w:sz w:val="24"/>
              </w:rPr>
            </w:pP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widowControl/>
            </w:pPr>
            <w:r>
              <w:rPr>
                <w:rFonts w:hint="eastAsia"/>
                <w:color w:val="000000"/>
                <w:sz w:val="24"/>
                <w:szCs w:val="24"/>
                <w:lang w:val="en-US"/>
              </w:rPr>
              <w:t xml:space="preserve">自信息形 </w:t>
            </w:r>
          </w:p>
          <w:p>
            <w:pPr>
              <w:widowControl/>
            </w:pPr>
            <w:r>
              <w:rPr>
                <w:rFonts w:hint="eastAsia"/>
                <w:color w:val="000000"/>
                <w:sz w:val="24"/>
                <w:szCs w:val="24"/>
                <w:lang w:val="en-US"/>
              </w:rPr>
              <w:t xml:space="preserve">成或者变 </w:t>
            </w:r>
          </w:p>
          <w:p>
            <w:pPr>
              <w:widowControl/>
            </w:pPr>
            <w:r>
              <w:rPr>
                <w:rFonts w:hint="eastAsia"/>
                <w:color w:val="000000"/>
                <w:sz w:val="24"/>
                <w:szCs w:val="24"/>
                <w:lang w:val="en-US"/>
              </w:rPr>
              <w:t xml:space="preserve">更之日起 </w:t>
            </w:r>
          </w:p>
          <w:p>
            <w:pPr>
              <w:widowControl/>
            </w:pPr>
            <w:r>
              <w:rPr>
                <w:rFonts w:hint="eastAsia"/>
                <w:color w:val="000000"/>
                <w:sz w:val="24"/>
                <w:szCs w:val="24"/>
                <w:lang w:val="en-US"/>
              </w:rPr>
              <w:t xml:space="preserve">20 个工作 </w:t>
            </w:r>
          </w:p>
          <w:p>
            <w:pPr>
              <w:widowControl/>
            </w:pPr>
            <w:r>
              <w:rPr>
                <w:rFonts w:hint="eastAsia"/>
                <w:color w:val="000000"/>
                <w:sz w:val="24"/>
                <w:szCs w:val="24"/>
                <w:lang w:val="en-US"/>
              </w:rPr>
              <w:t xml:space="preserve">日内予以 </w:t>
            </w:r>
          </w:p>
          <w:p>
            <w:pPr>
              <w:widowControl/>
            </w:pPr>
            <w:r>
              <w:rPr>
                <w:rFonts w:hint="eastAsia"/>
                <w:color w:val="000000"/>
                <w:sz w:val="24"/>
                <w:szCs w:val="24"/>
                <w:lang w:val="en-US"/>
              </w:rPr>
              <w:t xml:space="preserve">公开 </w:t>
            </w:r>
          </w:p>
          <w:p>
            <w:pPr>
              <w:pStyle w:val="10"/>
              <w:rPr>
                <w:b/>
                <w:sz w:val="24"/>
              </w:rPr>
            </w:pPr>
          </w:p>
          <w:p>
            <w:pPr>
              <w:pStyle w:val="10"/>
              <w:rPr>
                <w:b/>
                <w:sz w:val="24"/>
              </w:rPr>
            </w:pPr>
          </w:p>
          <w:p>
            <w:pPr>
              <w:pStyle w:val="10"/>
              <w:rPr>
                <w:b/>
                <w:sz w:val="24"/>
              </w:rPr>
            </w:pPr>
          </w:p>
          <w:p>
            <w:pPr>
              <w:pStyle w:val="10"/>
              <w:spacing w:before="2"/>
              <w:rPr>
                <w:b/>
                <w:sz w:val="29"/>
              </w:rPr>
            </w:pPr>
          </w:p>
          <w:p>
            <w:pPr>
              <w:pStyle w:val="10"/>
              <w:spacing w:line="254" w:lineRule="auto"/>
              <w:ind w:left="156" w:right="148"/>
              <w:jc w:val="center"/>
              <w:rPr>
                <w:sz w:val="24"/>
              </w:rPr>
            </w:pP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spacing w:line="254" w:lineRule="auto"/>
              <w:ind w:left="158" w:right="144"/>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0"/>
              </w:rPr>
            </w:pPr>
          </w:p>
          <w:p>
            <w:pPr>
              <w:pStyle w:val="10"/>
              <w:spacing w:line="254" w:lineRule="auto"/>
              <w:ind w:left="158" w:right="144"/>
              <w:jc w:val="center"/>
              <w:rPr>
                <w:sz w:val="24"/>
              </w:rPr>
            </w:pP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1"/>
              </w:rPr>
            </w:pPr>
          </w:p>
          <w:p>
            <w:pPr>
              <w:widowControl/>
            </w:pPr>
            <w:r>
              <w:rPr>
                <w:rFonts w:hint="eastAsia"/>
                <w:color w:val="000000"/>
                <w:sz w:val="24"/>
                <w:szCs w:val="24"/>
                <w:lang w:val="en-US"/>
              </w:rPr>
              <w:t xml:space="preserve">■政府网站 □政府公报 </w:t>
            </w:r>
          </w:p>
          <w:p>
            <w:pPr>
              <w:widowControl/>
            </w:pPr>
            <w:r>
              <w:rPr>
                <w:rFonts w:hint="eastAsia"/>
                <w:color w:val="000000"/>
                <w:sz w:val="24"/>
                <w:szCs w:val="24"/>
                <w:lang w:val="en-US"/>
              </w:rPr>
              <w:t xml:space="preserve">□两微一端 □发布会/听证会 </w:t>
            </w:r>
          </w:p>
          <w:p>
            <w:pPr>
              <w:widowControl/>
            </w:pPr>
            <w:r>
              <w:rPr>
                <w:rFonts w:hint="eastAsia"/>
                <w:color w:val="000000"/>
                <w:sz w:val="24"/>
                <w:szCs w:val="24"/>
                <w:lang w:val="en-US"/>
              </w:rPr>
              <w:t xml:space="preserve">□广播电视 □纸质媒体 </w:t>
            </w:r>
          </w:p>
          <w:p>
            <w:pPr>
              <w:widowControl/>
            </w:pPr>
            <w:r>
              <w:rPr>
                <w:rFonts w:hint="eastAsia"/>
                <w:color w:val="000000"/>
                <w:sz w:val="24"/>
                <w:szCs w:val="24"/>
                <w:lang w:val="en-US"/>
              </w:rPr>
              <w:t xml:space="preserve">□公开查阅点 □政务服务中心 </w:t>
            </w:r>
          </w:p>
          <w:p>
            <w:pPr>
              <w:widowControl/>
            </w:pPr>
            <w:r>
              <w:rPr>
                <w:rFonts w:hint="eastAsia"/>
                <w:color w:val="000000"/>
                <w:sz w:val="24"/>
                <w:szCs w:val="24"/>
                <w:lang w:val="en-US"/>
              </w:rPr>
              <w:t xml:space="preserve">□便民服务站 □入户/现场 </w:t>
            </w:r>
          </w:p>
          <w:p>
            <w:pPr>
              <w:widowControl/>
            </w:pPr>
            <w:r>
              <w:rPr>
                <w:rFonts w:hint="eastAsia"/>
                <w:color w:val="000000"/>
                <w:sz w:val="24"/>
                <w:szCs w:val="24"/>
                <w:lang w:val="en-US"/>
              </w:rPr>
              <w:t xml:space="preserve">□社区/企事业单位/村公示栏（电子屏） </w:t>
            </w:r>
          </w:p>
          <w:p>
            <w:pPr>
              <w:widowControl/>
            </w:pPr>
            <w:r>
              <w:rPr>
                <w:rFonts w:hint="eastAsia"/>
                <w:color w:val="000000"/>
                <w:sz w:val="24"/>
                <w:szCs w:val="24"/>
                <w:lang w:val="en-US"/>
              </w:rPr>
              <w:t>□精准推送 □其他_________</w:t>
            </w:r>
          </w:p>
          <w:p>
            <w:pPr>
              <w:pStyle w:val="10"/>
              <w:rPr>
                <w:b/>
                <w:sz w:val="24"/>
              </w:rPr>
            </w:pPr>
          </w:p>
          <w:p>
            <w:pPr>
              <w:pStyle w:val="10"/>
              <w:rPr>
                <w:b/>
                <w:sz w:val="24"/>
              </w:rPr>
            </w:pPr>
          </w:p>
          <w:p>
            <w:pPr>
              <w:pStyle w:val="10"/>
              <w:rPr>
                <w:b/>
                <w:sz w:val="24"/>
              </w:rPr>
            </w:pPr>
          </w:p>
          <w:p>
            <w:pPr>
              <w:pStyle w:val="10"/>
              <w:tabs>
                <w:tab w:val="left" w:pos="4068"/>
              </w:tabs>
              <w:spacing w:before="16"/>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08" w:right="-58"/>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5"/>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5"/>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0" w:right="-58"/>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4"/>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4"/>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2" w:right="-72"/>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2" w:right="-7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21"/>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8"/>
              <w:rPr>
                <w:b/>
                <w:sz w:val="34"/>
              </w:rPr>
            </w:pPr>
          </w:p>
          <w:p>
            <w:pPr>
              <w:pStyle w:val="10"/>
              <w:spacing w:line="254" w:lineRule="auto"/>
              <w:ind w:left="107" w:right="-29"/>
              <w:rPr>
                <w:sz w:val="24"/>
              </w:rPr>
            </w:pPr>
            <w:r>
              <w:rPr>
                <w:color w:val="000000"/>
                <w:sz w:val="23"/>
              </w:rPr>
              <w:t>投诉举报电话以及网上投诉渠道</w:t>
            </w:r>
          </w:p>
        </w:tc>
        <w:tc>
          <w:tcPr>
            <w:tcW w:w="4961" w:type="dxa"/>
            <w:vMerge w:val="continue"/>
            <w:tcBorders>
              <w:top w:val="nil"/>
            </w:tcBorders>
          </w:tcPr>
          <w:p>
            <w:pPr>
              <w:rPr>
                <w:sz w:val="2"/>
                <w:szCs w:val="2"/>
              </w:rPr>
            </w:pPr>
          </w:p>
        </w:tc>
        <w:tc>
          <w:tcPr>
            <w:tcW w:w="1277" w:type="dxa"/>
            <w:vMerge w:val="continue"/>
          </w:tcPr>
          <w:p>
            <w:pPr>
              <w:rPr>
                <w:sz w:val="2"/>
                <w:szCs w:val="2"/>
              </w:rPr>
            </w:pPr>
          </w:p>
        </w:tc>
        <w:tc>
          <w:tcPr>
            <w:tcW w:w="1275" w:type="dxa"/>
            <w:vMerge w:val="continue"/>
          </w:tcPr>
          <w:p>
            <w:pPr>
              <w:rPr>
                <w:sz w:val="2"/>
                <w:szCs w:val="2"/>
              </w:rPr>
            </w:pPr>
          </w:p>
        </w:tc>
        <w:tc>
          <w:tcPr>
            <w:tcW w:w="4536" w:type="dxa"/>
            <w:vMerge w:val="continue"/>
          </w:tcPr>
          <w:p>
            <w:pPr>
              <w:rPr>
                <w:sz w:val="2"/>
                <w:szCs w:val="2"/>
              </w:rPr>
            </w:pPr>
          </w:p>
        </w:tc>
        <w:tc>
          <w:tcPr>
            <w:tcW w:w="424" w:type="dxa"/>
            <w:vMerge w:val="continue"/>
          </w:tcPr>
          <w:p>
            <w:pPr>
              <w:rPr>
                <w:sz w:val="2"/>
                <w:szCs w:val="2"/>
              </w:rPr>
            </w:pPr>
          </w:p>
        </w:tc>
        <w:tc>
          <w:tcPr>
            <w:tcW w:w="426" w:type="dxa"/>
            <w:vMerge w:val="continue"/>
          </w:tcPr>
          <w:p>
            <w:pPr>
              <w:rPr>
                <w:sz w:val="2"/>
                <w:szCs w:val="2"/>
              </w:rPr>
            </w:pPr>
          </w:p>
        </w:tc>
        <w:tc>
          <w:tcPr>
            <w:tcW w:w="424" w:type="dxa"/>
            <w:vMerge w:val="continue"/>
          </w:tcPr>
          <w:p>
            <w:pPr>
              <w:rPr>
                <w:sz w:val="2"/>
                <w:szCs w:val="2"/>
              </w:rPr>
            </w:pPr>
          </w:p>
        </w:tc>
        <w:tc>
          <w:tcPr>
            <w:tcW w:w="424" w:type="dxa"/>
            <w:vMerge w:val="continue"/>
          </w:tcPr>
          <w:p>
            <w:pPr>
              <w:rPr>
                <w:sz w:val="2"/>
                <w:szCs w:val="2"/>
              </w:rPr>
            </w:pPr>
          </w:p>
        </w:tc>
        <w:tc>
          <w:tcPr>
            <w:tcW w:w="424" w:type="dxa"/>
            <w:vMerge w:val="continue"/>
          </w:tcPr>
          <w:p>
            <w:pPr>
              <w:rPr>
                <w:sz w:val="2"/>
                <w:szCs w:val="2"/>
              </w:rPr>
            </w:pPr>
          </w:p>
        </w:tc>
        <w:tc>
          <w:tcPr>
            <w:tcW w:w="42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30"/>
              </w:rPr>
            </w:pPr>
          </w:p>
          <w:p>
            <w:pPr>
              <w:widowControl/>
            </w:pPr>
            <w:r>
              <w:rPr>
                <w:color w:val="000000"/>
                <w:sz w:val="23"/>
              </w:rPr>
              <w:t>受理和立案信息，包括：案件受理记录、立案报告</w:t>
            </w:r>
          </w:p>
          <w:p>
            <w:pPr>
              <w:pStyle w:val="10"/>
              <w:spacing w:line="254" w:lineRule="auto"/>
              <w:ind w:left="107" w:right="97"/>
              <w:rPr>
                <w:sz w:val="24"/>
              </w:rPr>
            </w:pPr>
          </w:p>
        </w:tc>
        <w:tc>
          <w:tcPr>
            <w:tcW w:w="4961" w:type="dxa"/>
            <w:vMerge w:val="continue"/>
            <w:tcBorders>
              <w:top w:val="nil"/>
            </w:tcBorders>
          </w:tcPr>
          <w:p>
            <w:pPr>
              <w:rPr>
                <w:sz w:val="2"/>
                <w:szCs w:val="2"/>
              </w:rPr>
            </w:pPr>
          </w:p>
        </w:tc>
        <w:tc>
          <w:tcPr>
            <w:tcW w:w="1277" w:type="dxa"/>
            <w:vMerge w:val="continue"/>
          </w:tcPr>
          <w:p>
            <w:pPr>
              <w:rPr>
                <w:sz w:val="2"/>
                <w:szCs w:val="2"/>
              </w:rPr>
            </w:pPr>
          </w:p>
        </w:tc>
        <w:tc>
          <w:tcPr>
            <w:tcW w:w="1275" w:type="dxa"/>
            <w:vMerge w:val="continue"/>
          </w:tcPr>
          <w:p>
            <w:pPr>
              <w:rPr>
                <w:sz w:val="2"/>
                <w:szCs w:val="2"/>
              </w:rPr>
            </w:pPr>
          </w:p>
        </w:tc>
        <w:tc>
          <w:tcPr>
            <w:tcW w:w="4536" w:type="dxa"/>
            <w:vMerge w:val="continue"/>
          </w:tcPr>
          <w:p>
            <w:pPr>
              <w:rPr>
                <w:sz w:val="2"/>
                <w:szCs w:val="2"/>
              </w:rPr>
            </w:pPr>
          </w:p>
        </w:tc>
        <w:tc>
          <w:tcPr>
            <w:tcW w:w="424" w:type="dxa"/>
            <w:vMerge w:val="continue"/>
          </w:tcPr>
          <w:p>
            <w:pPr>
              <w:rPr>
                <w:sz w:val="2"/>
                <w:szCs w:val="2"/>
              </w:rPr>
            </w:pPr>
          </w:p>
        </w:tc>
        <w:tc>
          <w:tcPr>
            <w:tcW w:w="426" w:type="dxa"/>
            <w:vMerge w:val="continue"/>
          </w:tcPr>
          <w:p>
            <w:pPr>
              <w:rPr>
                <w:sz w:val="2"/>
                <w:szCs w:val="2"/>
              </w:rPr>
            </w:pPr>
          </w:p>
        </w:tc>
        <w:tc>
          <w:tcPr>
            <w:tcW w:w="424" w:type="dxa"/>
            <w:vMerge w:val="continue"/>
          </w:tcPr>
          <w:p>
            <w:pPr>
              <w:rPr>
                <w:sz w:val="2"/>
                <w:szCs w:val="2"/>
              </w:rPr>
            </w:pPr>
          </w:p>
        </w:tc>
        <w:tc>
          <w:tcPr>
            <w:tcW w:w="424" w:type="dxa"/>
            <w:vMerge w:val="continue"/>
          </w:tcPr>
          <w:p>
            <w:pPr>
              <w:rPr>
                <w:sz w:val="2"/>
                <w:szCs w:val="2"/>
              </w:rPr>
            </w:pPr>
          </w:p>
        </w:tc>
        <w:tc>
          <w:tcPr>
            <w:tcW w:w="424" w:type="dxa"/>
            <w:vMerge w:val="continue"/>
          </w:tcPr>
          <w:p>
            <w:pPr>
              <w:rPr>
                <w:sz w:val="2"/>
                <w:szCs w:val="2"/>
              </w:rPr>
            </w:pPr>
          </w:p>
        </w:tc>
        <w:tc>
          <w:tcPr>
            <w:tcW w:w="42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19"/>
              </w:rPr>
            </w:pPr>
          </w:p>
          <w:p>
            <w:pPr>
              <w:widowControl/>
            </w:pPr>
            <w:r>
              <w:rPr>
                <w:rFonts w:hint="eastAsia"/>
                <w:color w:val="000000"/>
                <w:sz w:val="24"/>
                <w:szCs w:val="24"/>
                <w:lang w:val="en-US"/>
              </w:rPr>
              <w:t xml:space="preserve">行政处罚决定信息，包括： </w:t>
            </w:r>
          </w:p>
          <w:p>
            <w:pPr>
              <w:widowControl/>
            </w:pPr>
            <w:r>
              <w:rPr>
                <w:rFonts w:hint="eastAsia"/>
                <w:color w:val="000000"/>
                <w:sz w:val="24"/>
                <w:szCs w:val="24"/>
                <w:lang w:val="en-US"/>
              </w:rPr>
              <w:t xml:space="preserve">处罚决定书文号、处罚名称、处罚类别、 </w:t>
            </w:r>
          </w:p>
          <w:p>
            <w:pPr>
              <w:widowControl/>
            </w:pPr>
            <w:r>
              <w:rPr>
                <w:rFonts w:hint="eastAsia"/>
                <w:color w:val="000000"/>
                <w:sz w:val="24"/>
                <w:szCs w:val="24"/>
                <w:lang w:val="en-US"/>
              </w:rPr>
              <w:t xml:space="preserve">处罚事由、相对人名称、处罚依据、处罚 </w:t>
            </w:r>
          </w:p>
          <w:p>
            <w:pPr>
              <w:widowControl/>
            </w:pPr>
            <w:r>
              <w:rPr>
                <w:rFonts w:hint="eastAsia"/>
                <w:color w:val="000000"/>
                <w:sz w:val="24"/>
                <w:szCs w:val="24"/>
                <w:lang w:val="en-US"/>
              </w:rPr>
              <w:t>单位、处罚决定日期</w:t>
            </w:r>
          </w:p>
          <w:p>
            <w:pPr>
              <w:pStyle w:val="10"/>
              <w:spacing w:line="254" w:lineRule="auto"/>
              <w:ind w:left="107" w:right="93"/>
              <w:jc w:val="both"/>
              <w:rPr>
                <w:sz w:val="24"/>
              </w:rPr>
            </w:pPr>
          </w:p>
        </w:tc>
        <w:tc>
          <w:tcPr>
            <w:tcW w:w="4961" w:type="dxa"/>
            <w:vMerge w:val="continue"/>
            <w:tcBorders>
              <w:top w:val="nil"/>
            </w:tcBorders>
          </w:tcPr>
          <w:p>
            <w:pPr>
              <w:rPr>
                <w:sz w:val="2"/>
                <w:szCs w:val="2"/>
              </w:rPr>
            </w:pPr>
          </w:p>
        </w:tc>
        <w:tc>
          <w:tcPr>
            <w:tcW w:w="1277" w:type="dxa"/>
            <w:vMerge w:val="continue"/>
          </w:tcPr>
          <w:p>
            <w:pPr>
              <w:pStyle w:val="10"/>
              <w:spacing w:line="254" w:lineRule="auto"/>
              <w:ind w:left="156" w:right="148"/>
              <w:jc w:val="center"/>
              <w:rPr>
                <w:sz w:val="24"/>
              </w:rPr>
            </w:pPr>
          </w:p>
        </w:tc>
        <w:tc>
          <w:tcPr>
            <w:tcW w:w="1275" w:type="dxa"/>
            <w:vMerge w:val="continue"/>
          </w:tcPr>
          <w:p>
            <w:pPr>
              <w:pStyle w:val="10"/>
              <w:spacing w:line="254" w:lineRule="auto"/>
              <w:ind w:left="158" w:right="144"/>
              <w:jc w:val="center"/>
              <w:rPr>
                <w:sz w:val="24"/>
              </w:rPr>
            </w:pPr>
          </w:p>
        </w:tc>
        <w:tc>
          <w:tcPr>
            <w:tcW w:w="4536" w:type="dxa"/>
            <w:vMerge w:val="continue"/>
          </w:tcPr>
          <w:p>
            <w:pPr>
              <w:pStyle w:val="10"/>
              <w:tabs>
                <w:tab w:val="left" w:pos="4068"/>
              </w:tabs>
              <w:spacing w:before="16"/>
              <w:ind w:left="108"/>
              <w:rPr>
                <w:sz w:val="24"/>
              </w:rPr>
            </w:pPr>
          </w:p>
        </w:tc>
        <w:tc>
          <w:tcPr>
            <w:tcW w:w="424" w:type="dxa"/>
            <w:vMerge w:val="continue"/>
          </w:tcPr>
          <w:p>
            <w:pPr>
              <w:pStyle w:val="10"/>
              <w:ind w:left="108" w:right="-58"/>
              <w:rPr>
                <w:sz w:val="24"/>
              </w:rPr>
            </w:pPr>
          </w:p>
        </w:tc>
        <w:tc>
          <w:tcPr>
            <w:tcW w:w="426" w:type="dxa"/>
            <w:vMerge w:val="continue"/>
          </w:tcPr>
          <w:p>
            <w:pPr>
              <w:pStyle w:val="10"/>
              <w:ind w:left="215"/>
              <w:rPr>
                <w:sz w:val="24"/>
              </w:rPr>
            </w:pPr>
          </w:p>
        </w:tc>
        <w:tc>
          <w:tcPr>
            <w:tcW w:w="424" w:type="dxa"/>
            <w:vMerge w:val="continue"/>
          </w:tcPr>
          <w:p>
            <w:pPr>
              <w:pStyle w:val="10"/>
              <w:ind w:left="110" w:right="-58"/>
              <w:rPr>
                <w:sz w:val="24"/>
              </w:rPr>
            </w:pPr>
          </w:p>
        </w:tc>
        <w:tc>
          <w:tcPr>
            <w:tcW w:w="424" w:type="dxa"/>
            <w:vMerge w:val="continue"/>
          </w:tcPr>
          <w:p>
            <w:pPr>
              <w:pStyle w:val="10"/>
              <w:ind w:left="214"/>
              <w:rPr>
                <w:sz w:val="24"/>
              </w:rPr>
            </w:pPr>
          </w:p>
        </w:tc>
        <w:tc>
          <w:tcPr>
            <w:tcW w:w="424" w:type="dxa"/>
            <w:vMerge w:val="continue"/>
          </w:tcPr>
          <w:p>
            <w:pPr>
              <w:pStyle w:val="10"/>
              <w:ind w:left="112" w:right="-72"/>
              <w:rPr>
                <w:sz w:val="24"/>
              </w:rPr>
            </w:pPr>
          </w:p>
        </w:tc>
        <w:tc>
          <w:tcPr>
            <w:tcW w:w="426" w:type="dxa"/>
            <w:vMerge w:val="continue"/>
          </w:tcPr>
          <w:p>
            <w:pPr>
              <w:pStyle w:val="10"/>
              <w:ind w:left="221"/>
              <w:rPr>
                <w:sz w:val="24"/>
              </w:rPr>
            </w:pPr>
          </w:p>
        </w:tc>
      </w:tr>
    </w:tbl>
    <w:p/>
    <w:p/>
    <w:p/>
    <w:p/>
    <w:p/>
    <w:tbl>
      <w:tblPr>
        <w:tblStyle w:val="6"/>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lang w:val="en-US"/>
              </w:rPr>
            </w:pPr>
            <w:r>
              <w:rPr>
                <w:rFonts w:hint="eastAsia"/>
                <w:b/>
                <w:sz w:val="26"/>
                <w:lang w:val="en-US"/>
              </w:rPr>
              <w:t>0121</w:t>
            </w: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12"/>
              <w:rPr>
                <w:b/>
                <w:sz w:val="29"/>
              </w:rPr>
            </w:pPr>
          </w:p>
          <w:p>
            <w:pPr>
              <w:pStyle w:val="10"/>
              <w:rPr>
                <w:rFonts w:ascii="Times New Roman"/>
                <w:sz w:val="24"/>
                <w:lang w:val="en-US"/>
              </w:rPr>
            </w:pP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widowControl/>
            </w:pPr>
            <w:r>
              <w:rPr>
                <w:rFonts w:ascii="TimesNewRomanPSMT" w:hAnsi="TimesNewRomanPSMT" w:eastAsia="TimesNewRomanPSMT" w:cs="TimesNewRomanPSMT"/>
                <w:color w:val="000000"/>
                <w:sz w:val="24"/>
                <w:szCs w:val="24"/>
                <w:lang w:val="en-US"/>
              </w:rPr>
              <w:t>0</w:t>
            </w:r>
            <w:r>
              <w:rPr>
                <w:rFonts w:hint="eastAsia" w:ascii="TimesNewRomanPSMT" w:hAnsi="TimesNewRomanPSMT" w:eastAsia="TimesNewRomanPSMT" w:cs="TimesNewRomanPSMT"/>
                <w:color w:val="000000"/>
                <w:sz w:val="24"/>
                <w:szCs w:val="24"/>
                <w:lang w:val="en-US"/>
              </w:rPr>
              <w:t>1</w:t>
            </w:r>
            <w:r>
              <w:rPr>
                <w:rFonts w:ascii="TimesNewRomanPSMT" w:hAnsi="TimesNewRomanPSMT" w:eastAsia="TimesNewRomanPSMT" w:cs="TimesNewRomanPSMT"/>
                <w:color w:val="000000"/>
                <w:sz w:val="24"/>
                <w:szCs w:val="24"/>
                <w:lang w:val="en-US"/>
              </w:rPr>
              <w:t xml:space="preserve"> </w:t>
            </w:r>
          </w:p>
          <w:p>
            <w:pPr>
              <w:widowControl/>
            </w:pPr>
            <w:r>
              <w:rPr>
                <w:rFonts w:hint="eastAsia"/>
                <w:color w:val="000000"/>
                <w:sz w:val="24"/>
                <w:szCs w:val="24"/>
                <w:lang w:val="en-US"/>
              </w:rPr>
              <w:t>行</w:t>
            </w:r>
          </w:p>
          <w:p>
            <w:pPr>
              <w:widowControl/>
            </w:pPr>
            <w:r>
              <w:rPr>
                <w:rFonts w:hint="eastAsia"/>
                <w:color w:val="000000"/>
                <w:sz w:val="24"/>
                <w:szCs w:val="24"/>
                <w:lang w:val="en-US"/>
              </w:rPr>
              <w:t>政</w:t>
            </w:r>
          </w:p>
          <w:p>
            <w:pPr>
              <w:widowControl/>
            </w:pPr>
            <w:r>
              <w:rPr>
                <w:rFonts w:hint="eastAsia"/>
                <w:color w:val="000000"/>
                <w:sz w:val="24"/>
                <w:szCs w:val="24"/>
                <w:lang w:val="en-US"/>
              </w:rPr>
              <w:t>处</w:t>
            </w:r>
          </w:p>
          <w:p>
            <w:pPr>
              <w:widowControl/>
            </w:pPr>
            <w:r>
              <w:rPr>
                <w:rFonts w:hint="eastAsia"/>
                <w:color w:val="000000"/>
                <w:sz w:val="24"/>
                <w:szCs w:val="24"/>
                <w:lang w:val="en-US"/>
              </w:rPr>
              <w:t>罚</w:t>
            </w:r>
          </w:p>
          <w:p>
            <w:pPr>
              <w:widowControl/>
            </w:pPr>
            <w:r>
              <w:rPr>
                <w:rFonts w:hint="eastAsia"/>
                <w:color w:val="000000"/>
                <w:sz w:val="24"/>
                <w:szCs w:val="24"/>
                <w:lang w:val="en-US"/>
              </w:rPr>
              <w:t>类</w:t>
            </w:r>
          </w:p>
          <w:p>
            <w:pPr>
              <w:widowControl/>
            </w:pPr>
            <w:r>
              <w:rPr>
                <w:rFonts w:hint="eastAsia"/>
                <w:color w:val="000000"/>
                <w:sz w:val="24"/>
                <w:szCs w:val="24"/>
                <w:lang w:val="en-US"/>
              </w:rPr>
              <w:t>事</w:t>
            </w:r>
          </w:p>
          <w:p>
            <w:pPr>
              <w:pStyle w:val="10"/>
              <w:spacing w:before="35" w:line="254" w:lineRule="auto"/>
              <w:ind w:right="154"/>
              <w:jc w:val="both"/>
              <w:rPr>
                <w:sz w:val="24"/>
              </w:rPr>
            </w:pPr>
            <w:r>
              <w:rPr>
                <w:rFonts w:hint="eastAsia"/>
                <w:color w:val="000000"/>
                <w:sz w:val="24"/>
                <w:szCs w:val="24"/>
                <w:lang w:val="en-US"/>
              </w:rPr>
              <w:t>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widowControl/>
            </w:pPr>
            <w:r>
              <w:rPr>
                <w:rFonts w:hint="eastAsia"/>
                <w:color w:val="000000"/>
                <w:sz w:val="24"/>
                <w:szCs w:val="24"/>
                <w:lang w:val="en-US"/>
              </w:rPr>
              <w:t>未取得卫生保健合格证开办托儿所、幼儿园的处罚</w:t>
            </w:r>
            <w:r>
              <w:rPr>
                <w:rFonts w:hint="eastAsia"/>
                <w:color w:val="000000"/>
                <w:sz w:val="20"/>
                <w:szCs w:val="20"/>
                <w:lang w:val="en-US"/>
              </w:rPr>
              <w:t xml:space="preserve"> </w:t>
            </w:r>
            <w:r>
              <w:rPr>
                <w:rFonts w:hint="eastAsia"/>
                <w:color w:val="000000"/>
                <w:sz w:val="24"/>
                <w:szCs w:val="24"/>
                <w:lang w:val="en-US"/>
              </w:rPr>
              <w:t xml:space="preserve"> </w:t>
            </w:r>
          </w:p>
          <w:p>
            <w:pPr>
              <w:pStyle w:val="10"/>
              <w:spacing w:before="1"/>
              <w:ind w:left="244"/>
              <w:rPr>
                <w:sz w:val="24"/>
              </w:rPr>
            </w:pPr>
          </w:p>
        </w:tc>
        <w:tc>
          <w:tcPr>
            <w:tcW w:w="4397" w:type="dxa"/>
            <w:tcBorders>
              <w:bottom w:val="single" w:color="auto" w:sz="4" w:space="0"/>
            </w:tcBorders>
          </w:tcPr>
          <w:p>
            <w:pPr>
              <w:pStyle w:val="10"/>
              <w:rPr>
                <w:b/>
                <w:sz w:val="24"/>
              </w:rPr>
            </w:pPr>
          </w:p>
          <w:p>
            <w:pPr>
              <w:widowControl/>
            </w:pPr>
            <w:r>
              <w:rPr>
                <w:rFonts w:hint="eastAsia"/>
                <w:color w:val="000000"/>
                <w:sz w:val="24"/>
                <w:szCs w:val="24"/>
                <w:lang w:val="en-US"/>
              </w:rPr>
              <w:t>法律法规和政策文件</w:t>
            </w:r>
          </w:p>
          <w:p>
            <w:pPr>
              <w:pStyle w:val="10"/>
              <w:spacing w:before="170"/>
              <w:ind w:left="107"/>
              <w:rPr>
                <w:sz w:val="24"/>
              </w:rPr>
            </w:pP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5"/>
              <w:widowControl/>
            </w:pPr>
            <w:r>
              <w:rPr>
                <w:rFonts w:hint="eastAsia" w:cs="仿宋"/>
                <w:szCs w:val="24"/>
              </w:rPr>
              <w:t>《托儿所幼儿园卫生保健管理办法》（卫生部 教育部令第76号）</w:t>
            </w:r>
          </w:p>
        </w:tc>
        <w:tc>
          <w:tcPr>
            <w:tcW w:w="1277" w:type="dxa"/>
            <w:vMerge w:val="restart"/>
          </w:tcPr>
          <w:p>
            <w:pPr>
              <w:pStyle w:val="10"/>
              <w:rPr>
                <w:b/>
                <w:sz w:val="24"/>
              </w:rPr>
            </w:pPr>
          </w:p>
          <w:p>
            <w:pPr>
              <w:widowControl/>
            </w:pPr>
            <w:r>
              <w:rPr>
                <w:rFonts w:hint="eastAsia"/>
                <w:color w:val="000000"/>
                <w:sz w:val="24"/>
                <w:szCs w:val="24"/>
                <w:lang w:val="en-US"/>
              </w:rPr>
              <w:t xml:space="preserve">自信息形 </w:t>
            </w:r>
          </w:p>
          <w:p>
            <w:pPr>
              <w:widowControl/>
            </w:pPr>
            <w:r>
              <w:rPr>
                <w:rFonts w:hint="eastAsia"/>
                <w:color w:val="000000"/>
                <w:sz w:val="24"/>
                <w:szCs w:val="24"/>
                <w:lang w:val="en-US"/>
              </w:rPr>
              <w:t xml:space="preserve">成或者变 </w:t>
            </w:r>
          </w:p>
          <w:p>
            <w:pPr>
              <w:widowControl/>
            </w:pPr>
            <w:r>
              <w:rPr>
                <w:rFonts w:hint="eastAsia"/>
                <w:color w:val="000000"/>
                <w:sz w:val="24"/>
                <w:szCs w:val="24"/>
                <w:lang w:val="en-US"/>
              </w:rPr>
              <w:t xml:space="preserve">更之日起 </w:t>
            </w:r>
          </w:p>
          <w:p>
            <w:pPr>
              <w:widowControl/>
            </w:pPr>
            <w:r>
              <w:rPr>
                <w:rFonts w:hint="eastAsia"/>
                <w:color w:val="000000"/>
                <w:sz w:val="24"/>
                <w:szCs w:val="24"/>
                <w:lang w:val="en-US"/>
              </w:rPr>
              <w:t xml:space="preserve">20 个工作 </w:t>
            </w:r>
          </w:p>
          <w:p>
            <w:pPr>
              <w:widowControl/>
            </w:pPr>
            <w:r>
              <w:rPr>
                <w:rFonts w:hint="eastAsia"/>
                <w:color w:val="000000"/>
                <w:sz w:val="24"/>
                <w:szCs w:val="24"/>
                <w:lang w:val="en-US"/>
              </w:rPr>
              <w:t xml:space="preserve">日内予以 </w:t>
            </w:r>
          </w:p>
          <w:p>
            <w:pPr>
              <w:widowControl/>
            </w:pPr>
            <w:r>
              <w:rPr>
                <w:rFonts w:hint="eastAsia"/>
                <w:color w:val="000000"/>
                <w:sz w:val="24"/>
                <w:szCs w:val="24"/>
                <w:lang w:val="en-US"/>
              </w:rPr>
              <w:t>公开</w:t>
            </w:r>
          </w:p>
          <w:p>
            <w:pPr>
              <w:pStyle w:val="10"/>
              <w:spacing w:line="254" w:lineRule="auto"/>
              <w:ind w:left="156" w:right="148"/>
              <w:jc w:val="center"/>
              <w:rPr>
                <w:sz w:val="24"/>
              </w:rPr>
            </w:pPr>
            <w:r>
              <w:rPr>
                <w:sz w:val="24"/>
              </w:rPr>
              <w:t xml:space="preserve"> </w:t>
            </w:r>
          </w:p>
        </w:tc>
        <w:tc>
          <w:tcPr>
            <w:tcW w:w="1275" w:type="dxa"/>
            <w:vMerge w:val="restart"/>
          </w:tcPr>
          <w:p>
            <w:pPr>
              <w:pStyle w:val="10"/>
              <w:rPr>
                <w:b/>
                <w:sz w:val="24"/>
              </w:rPr>
            </w:pPr>
          </w:p>
          <w:p>
            <w:pPr>
              <w:pStyle w:val="10"/>
              <w:rPr>
                <w:b/>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p>
            <w:pPr>
              <w:pStyle w:val="10"/>
              <w:rPr>
                <w:b/>
                <w:sz w:val="24"/>
              </w:rPr>
            </w:pPr>
          </w:p>
          <w:p>
            <w:pPr>
              <w:pStyle w:val="10"/>
              <w:rPr>
                <w:b/>
                <w:sz w:val="24"/>
              </w:rPr>
            </w:pPr>
          </w:p>
          <w:p>
            <w:pPr>
              <w:pStyle w:val="10"/>
              <w:rPr>
                <w:b/>
                <w:sz w:val="24"/>
              </w:rPr>
            </w:pPr>
          </w:p>
          <w:p>
            <w:pPr>
              <w:pStyle w:val="10"/>
              <w:spacing w:before="8"/>
              <w:rPr>
                <w:b/>
                <w:sz w:val="30"/>
              </w:rPr>
            </w:pPr>
          </w:p>
          <w:p>
            <w:pPr>
              <w:pStyle w:val="10"/>
              <w:spacing w:line="254" w:lineRule="auto"/>
              <w:ind w:left="158" w:right="144"/>
              <w:jc w:val="center"/>
              <w:rPr>
                <w:sz w:val="24"/>
              </w:rPr>
            </w:pPr>
          </w:p>
        </w:tc>
        <w:tc>
          <w:tcPr>
            <w:tcW w:w="4536" w:type="dxa"/>
            <w:vMerge w:val="restart"/>
          </w:tcPr>
          <w:p>
            <w:pPr>
              <w:pStyle w:val="10"/>
              <w:rPr>
                <w:b/>
                <w:sz w:val="24"/>
              </w:rPr>
            </w:pPr>
          </w:p>
          <w:p>
            <w:pPr>
              <w:widowControl/>
            </w:pPr>
            <w:r>
              <w:rPr>
                <w:rFonts w:hint="eastAsia"/>
                <w:color w:val="000000"/>
                <w:sz w:val="24"/>
                <w:szCs w:val="24"/>
                <w:lang w:val="en-US"/>
              </w:rPr>
              <w:t xml:space="preserve">■政府网站 □政府公报 </w:t>
            </w:r>
          </w:p>
          <w:p>
            <w:pPr>
              <w:widowControl/>
            </w:pPr>
            <w:r>
              <w:rPr>
                <w:rFonts w:hint="eastAsia"/>
                <w:color w:val="000000"/>
                <w:sz w:val="24"/>
                <w:szCs w:val="24"/>
                <w:lang w:val="en-US"/>
              </w:rPr>
              <w:t xml:space="preserve">□两微一端 □发布会/听证会 </w:t>
            </w:r>
          </w:p>
          <w:p>
            <w:pPr>
              <w:widowControl/>
            </w:pPr>
            <w:r>
              <w:rPr>
                <w:rFonts w:hint="eastAsia"/>
                <w:color w:val="000000"/>
                <w:sz w:val="24"/>
                <w:szCs w:val="24"/>
                <w:lang w:val="en-US"/>
              </w:rPr>
              <w:t xml:space="preserve">□广播电视 □纸质媒体 </w:t>
            </w:r>
          </w:p>
          <w:p>
            <w:pPr>
              <w:widowControl/>
            </w:pPr>
            <w:r>
              <w:rPr>
                <w:rFonts w:hint="eastAsia"/>
                <w:color w:val="000000"/>
                <w:sz w:val="24"/>
                <w:szCs w:val="24"/>
                <w:lang w:val="en-US"/>
              </w:rPr>
              <w:t xml:space="preserve">□公开查阅点 □政务服务中心 </w:t>
            </w:r>
          </w:p>
          <w:p>
            <w:pPr>
              <w:widowControl/>
            </w:pPr>
            <w:r>
              <w:rPr>
                <w:rFonts w:hint="eastAsia"/>
                <w:color w:val="000000"/>
                <w:sz w:val="24"/>
                <w:szCs w:val="24"/>
                <w:lang w:val="en-US"/>
              </w:rPr>
              <w:t xml:space="preserve">□便民服务站 □入户/现场 </w:t>
            </w:r>
          </w:p>
          <w:p>
            <w:pPr>
              <w:widowControl/>
            </w:pPr>
            <w:r>
              <w:rPr>
                <w:rFonts w:hint="eastAsia"/>
                <w:color w:val="000000"/>
                <w:sz w:val="24"/>
                <w:szCs w:val="24"/>
                <w:lang w:val="en-US"/>
              </w:rPr>
              <w:t xml:space="preserve">□社区/企事业单位/村公示栏（电子屏） </w:t>
            </w:r>
          </w:p>
          <w:p>
            <w:pPr>
              <w:widowControl/>
            </w:pPr>
            <w:r>
              <w:rPr>
                <w:rFonts w:hint="eastAsia"/>
                <w:color w:val="000000"/>
                <w:sz w:val="24"/>
                <w:szCs w:val="24"/>
                <w:lang w:val="en-US"/>
              </w:rPr>
              <w:t>□精准推送 □其他_________</w:t>
            </w:r>
          </w:p>
          <w:p>
            <w:pPr>
              <w:pStyle w:val="10"/>
              <w:tabs>
                <w:tab w:val="left" w:pos="4068"/>
              </w:tabs>
              <w:spacing w:before="20"/>
              <w:ind w:left="108"/>
              <w:rPr>
                <w:sz w:val="24"/>
              </w:rPr>
            </w:pPr>
            <w:r>
              <w:rPr>
                <w:sz w:val="24"/>
              </w:rPr>
              <w:t xml:space="preserve"> </w:t>
            </w:r>
          </w:p>
          <w:p>
            <w:pPr>
              <w:pStyle w:val="10"/>
              <w:rPr>
                <w:b/>
                <w:sz w:val="24"/>
              </w:rPr>
            </w:pPr>
          </w:p>
          <w:p>
            <w:pPr>
              <w:pStyle w:val="10"/>
              <w:rPr>
                <w:b/>
                <w:sz w:val="24"/>
              </w:rPr>
            </w:pPr>
          </w:p>
          <w:p>
            <w:pPr>
              <w:pStyle w:val="10"/>
              <w:rPr>
                <w:b/>
                <w:sz w:val="24"/>
              </w:rPr>
            </w:pPr>
          </w:p>
          <w:p>
            <w:pPr>
              <w:pStyle w:val="10"/>
              <w:tabs>
                <w:tab w:val="left" w:pos="4068"/>
              </w:tabs>
              <w:spacing w:before="16"/>
              <w:ind w:left="10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ind w:right="-58"/>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5"/>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5"/>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ind w:right="-58"/>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4"/>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4"/>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ind w:right="-72"/>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2" w:right="-7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21"/>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5" w:hRule="atLeast"/>
        </w:trPr>
        <w:tc>
          <w:tcPr>
            <w:tcW w:w="701" w:type="dxa"/>
            <w:vMerge w:val="continue"/>
          </w:tcPr>
          <w:p>
            <w:pPr>
              <w:pStyle w:val="10"/>
              <w:rPr>
                <w:rFonts w:ascii="Times New Roman"/>
                <w:sz w:val="24"/>
                <w:lang w:val="en-US"/>
              </w:rPr>
            </w:pPr>
          </w:p>
        </w:tc>
        <w:tc>
          <w:tcPr>
            <w:tcW w:w="574" w:type="dxa"/>
            <w:vMerge w:val="continue"/>
          </w:tcPr>
          <w:p>
            <w:pPr>
              <w:pStyle w:val="10"/>
              <w:spacing w:before="35" w:line="254" w:lineRule="auto"/>
              <w:ind w:left="167" w:right="154"/>
              <w:jc w:val="both"/>
              <w:rPr>
                <w:sz w:val="24"/>
              </w:rPr>
            </w:pPr>
          </w:p>
        </w:tc>
        <w:tc>
          <w:tcPr>
            <w:tcW w:w="1694" w:type="dxa"/>
            <w:vMerge w:val="continue"/>
          </w:tcPr>
          <w:p>
            <w:pPr>
              <w:pStyle w:val="10"/>
              <w:spacing w:before="1"/>
              <w:ind w:left="244"/>
              <w:rPr>
                <w:sz w:val="24"/>
              </w:rPr>
            </w:pPr>
          </w:p>
        </w:tc>
        <w:tc>
          <w:tcPr>
            <w:tcW w:w="4397" w:type="dxa"/>
            <w:tcBorders>
              <w:top w:val="single" w:color="auto" w:sz="4" w:space="0"/>
              <w:bottom w:val="single" w:color="auto" w:sz="4" w:space="0"/>
            </w:tcBorders>
          </w:tcPr>
          <w:p>
            <w:pPr>
              <w:pStyle w:val="10"/>
              <w:spacing w:before="170"/>
              <w:ind w:left="107"/>
              <w:rPr>
                <w:sz w:val="24"/>
              </w:rPr>
            </w:pPr>
            <w:r>
              <w:rPr>
                <w:color w:val="000000"/>
                <w:sz w:val="23"/>
              </w:rPr>
              <w:t>投诉举报电话以及网上投诉渠道</w:t>
            </w:r>
          </w:p>
        </w:tc>
        <w:tc>
          <w:tcPr>
            <w:tcW w:w="4961" w:type="dxa"/>
            <w:vMerge w:val="continue"/>
          </w:tcPr>
          <w:p>
            <w:pPr>
              <w:pStyle w:val="10"/>
              <w:spacing w:before="5"/>
              <w:ind w:left="108"/>
              <w:jc w:val="both"/>
              <w:rPr>
                <w:sz w:val="24"/>
              </w:rPr>
            </w:pPr>
          </w:p>
        </w:tc>
        <w:tc>
          <w:tcPr>
            <w:tcW w:w="1277" w:type="dxa"/>
            <w:vMerge w:val="continue"/>
          </w:tcPr>
          <w:p>
            <w:pPr>
              <w:pStyle w:val="10"/>
              <w:spacing w:line="254" w:lineRule="auto"/>
              <w:ind w:left="156" w:right="148"/>
              <w:jc w:val="center"/>
              <w:rPr>
                <w:sz w:val="24"/>
              </w:rPr>
            </w:pPr>
          </w:p>
        </w:tc>
        <w:tc>
          <w:tcPr>
            <w:tcW w:w="1275" w:type="dxa"/>
            <w:vMerge w:val="continue"/>
          </w:tcPr>
          <w:p>
            <w:pPr>
              <w:pStyle w:val="10"/>
              <w:spacing w:line="254" w:lineRule="auto"/>
              <w:ind w:left="158" w:right="144"/>
              <w:jc w:val="center"/>
              <w:rPr>
                <w:sz w:val="24"/>
              </w:rPr>
            </w:pPr>
          </w:p>
        </w:tc>
        <w:tc>
          <w:tcPr>
            <w:tcW w:w="4536" w:type="dxa"/>
            <w:vMerge w:val="continue"/>
          </w:tcPr>
          <w:p>
            <w:pPr>
              <w:pStyle w:val="10"/>
              <w:tabs>
                <w:tab w:val="left" w:pos="4068"/>
              </w:tabs>
              <w:spacing w:before="16"/>
              <w:ind w:left="108"/>
              <w:rPr>
                <w:sz w:val="24"/>
              </w:rPr>
            </w:pPr>
          </w:p>
        </w:tc>
        <w:tc>
          <w:tcPr>
            <w:tcW w:w="424" w:type="dxa"/>
            <w:vMerge w:val="continue"/>
          </w:tcPr>
          <w:p>
            <w:pPr>
              <w:pStyle w:val="10"/>
              <w:ind w:left="108" w:right="-58"/>
              <w:rPr>
                <w:sz w:val="24"/>
              </w:rPr>
            </w:pPr>
          </w:p>
        </w:tc>
        <w:tc>
          <w:tcPr>
            <w:tcW w:w="426" w:type="dxa"/>
            <w:vMerge w:val="continue"/>
          </w:tcPr>
          <w:p>
            <w:pPr>
              <w:pStyle w:val="10"/>
              <w:ind w:left="215"/>
              <w:rPr>
                <w:sz w:val="24"/>
              </w:rPr>
            </w:pPr>
          </w:p>
        </w:tc>
        <w:tc>
          <w:tcPr>
            <w:tcW w:w="424" w:type="dxa"/>
            <w:vMerge w:val="continue"/>
          </w:tcPr>
          <w:p>
            <w:pPr>
              <w:pStyle w:val="10"/>
              <w:ind w:left="110" w:right="-58"/>
              <w:rPr>
                <w:sz w:val="24"/>
              </w:rPr>
            </w:pPr>
          </w:p>
        </w:tc>
        <w:tc>
          <w:tcPr>
            <w:tcW w:w="424" w:type="dxa"/>
            <w:vMerge w:val="continue"/>
          </w:tcPr>
          <w:p>
            <w:pPr>
              <w:pStyle w:val="10"/>
              <w:ind w:left="214"/>
              <w:rPr>
                <w:sz w:val="24"/>
              </w:rPr>
            </w:pPr>
          </w:p>
        </w:tc>
        <w:tc>
          <w:tcPr>
            <w:tcW w:w="424" w:type="dxa"/>
            <w:vMerge w:val="continue"/>
          </w:tcPr>
          <w:p>
            <w:pPr>
              <w:pStyle w:val="10"/>
              <w:ind w:left="112" w:right="-72"/>
              <w:rPr>
                <w:sz w:val="24"/>
              </w:rPr>
            </w:pPr>
          </w:p>
        </w:tc>
        <w:tc>
          <w:tcPr>
            <w:tcW w:w="426" w:type="dxa"/>
            <w:vMerge w:val="continue"/>
          </w:tcPr>
          <w:p>
            <w:pPr>
              <w:pStyle w:val="10"/>
              <w:ind w:left="22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2" w:hRule="atLeast"/>
        </w:trPr>
        <w:tc>
          <w:tcPr>
            <w:tcW w:w="701" w:type="dxa"/>
            <w:vMerge w:val="continue"/>
          </w:tcPr>
          <w:p>
            <w:pPr>
              <w:pStyle w:val="10"/>
              <w:rPr>
                <w:rFonts w:ascii="Times New Roman"/>
                <w:sz w:val="24"/>
                <w:lang w:val="en-US"/>
              </w:rPr>
            </w:pPr>
          </w:p>
        </w:tc>
        <w:tc>
          <w:tcPr>
            <w:tcW w:w="574" w:type="dxa"/>
            <w:vMerge w:val="continue"/>
          </w:tcPr>
          <w:p>
            <w:pPr>
              <w:pStyle w:val="10"/>
              <w:spacing w:before="35" w:line="254" w:lineRule="auto"/>
              <w:ind w:left="167" w:right="154"/>
              <w:jc w:val="both"/>
              <w:rPr>
                <w:sz w:val="24"/>
              </w:rPr>
            </w:pPr>
          </w:p>
        </w:tc>
        <w:tc>
          <w:tcPr>
            <w:tcW w:w="1694" w:type="dxa"/>
            <w:vMerge w:val="continue"/>
          </w:tcPr>
          <w:p>
            <w:pPr>
              <w:pStyle w:val="10"/>
              <w:spacing w:before="1"/>
              <w:ind w:left="244"/>
              <w:rPr>
                <w:sz w:val="24"/>
              </w:rPr>
            </w:pPr>
          </w:p>
        </w:tc>
        <w:tc>
          <w:tcPr>
            <w:tcW w:w="4397" w:type="dxa"/>
            <w:tcBorders>
              <w:top w:val="single" w:color="auto" w:sz="4" w:space="0"/>
              <w:bottom w:val="single" w:color="auto" w:sz="4" w:space="0"/>
            </w:tcBorders>
          </w:tcPr>
          <w:p>
            <w:pPr>
              <w:pStyle w:val="10"/>
              <w:spacing w:before="170"/>
              <w:ind w:left="107"/>
              <w:rPr>
                <w:sz w:val="24"/>
              </w:rPr>
            </w:pPr>
            <w:r>
              <w:rPr>
                <w:color w:val="000000"/>
                <w:sz w:val="23"/>
              </w:rPr>
              <w:t>受理和立案信息，包括：案件受理记录、立案报告</w:t>
            </w:r>
          </w:p>
        </w:tc>
        <w:tc>
          <w:tcPr>
            <w:tcW w:w="4961" w:type="dxa"/>
            <w:vMerge w:val="continue"/>
          </w:tcPr>
          <w:p>
            <w:pPr>
              <w:pStyle w:val="10"/>
              <w:spacing w:before="5"/>
              <w:ind w:left="108"/>
              <w:jc w:val="both"/>
              <w:rPr>
                <w:sz w:val="24"/>
              </w:rPr>
            </w:pPr>
          </w:p>
        </w:tc>
        <w:tc>
          <w:tcPr>
            <w:tcW w:w="1277" w:type="dxa"/>
            <w:vMerge w:val="continue"/>
          </w:tcPr>
          <w:p>
            <w:pPr>
              <w:pStyle w:val="10"/>
              <w:spacing w:line="254" w:lineRule="auto"/>
              <w:ind w:left="156" w:right="148"/>
              <w:jc w:val="center"/>
              <w:rPr>
                <w:sz w:val="24"/>
              </w:rPr>
            </w:pPr>
          </w:p>
        </w:tc>
        <w:tc>
          <w:tcPr>
            <w:tcW w:w="1275" w:type="dxa"/>
            <w:vMerge w:val="continue"/>
          </w:tcPr>
          <w:p>
            <w:pPr>
              <w:pStyle w:val="10"/>
              <w:spacing w:line="254" w:lineRule="auto"/>
              <w:ind w:left="158" w:right="144"/>
              <w:jc w:val="center"/>
              <w:rPr>
                <w:sz w:val="24"/>
              </w:rPr>
            </w:pPr>
          </w:p>
        </w:tc>
        <w:tc>
          <w:tcPr>
            <w:tcW w:w="4536" w:type="dxa"/>
            <w:vMerge w:val="continue"/>
          </w:tcPr>
          <w:p>
            <w:pPr>
              <w:pStyle w:val="10"/>
              <w:tabs>
                <w:tab w:val="left" w:pos="4068"/>
              </w:tabs>
              <w:spacing w:before="16"/>
              <w:ind w:left="108"/>
              <w:rPr>
                <w:sz w:val="24"/>
              </w:rPr>
            </w:pPr>
          </w:p>
        </w:tc>
        <w:tc>
          <w:tcPr>
            <w:tcW w:w="424" w:type="dxa"/>
            <w:vMerge w:val="continue"/>
          </w:tcPr>
          <w:p>
            <w:pPr>
              <w:pStyle w:val="10"/>
              <w:ind w:left="108" w:right="-58"/>
              <w:rPr>
                <w:sz w:val="24"/>
              </w:rPr>
            </w:pPr>
          </w:p>
        </w:tc>
        <w:tc>
          <w:tcPr>
            <w:tcW w:w="426" w:type="dxa"/>
            <w:vMerge w:val="continue"/>
          </w:tcPr>
          <w:p>
            <w:pPr>
              <w:pStyle w:val="10"/>
              <w:ind w:left="215"/>
              <w:rPr>
                <w:sz w:val="24"/>
              </w:rPr>
            </w:pPr>
          </w:p>
        </w:tc>
        <w:tc>
          <w:tcPr>
            <w:tcW w:w="424" w:type="dxa"/>
            <w:vMerge w:val="continue"/>
          </w:tcPr>
          <w:p>
            <w:pPr>
              <w:pStyle w:val="10"/>
              <w:ind w:left="110" w:right="-58"/>
              <w:rPr>
                <w:sz w:val="24"/>
              </w:rPr>
            </w:pPr>
          </w:p>
        </w:tc>
        <w:tc>
          <w:tcPr>
            <w:tcW w:w="424" w:type="dxa"/>
            <w:vMerge w:val="continue"/>
          </w:tcPr>
          <w:p>
            <w:pPr>
              <w:pStyle w:val="10"/>
              <w:ind w:left="214"/>
              <w:rPr>
                <w:sz w:val="24"/>
              </w:rPr>
            </w:pPr>
          </w:p>
        </w:tc>
        <w:tc>
          <w:tcPr>
            <w:tcW w:w="424" w:type="dxa"/>
            <w:vMerge w:val="continue"/>
          </w:tcPr>
          <w:p>
            <w:pPr>
              <w:pStyle w:val="10"/>
              <w:ind w:left="112" w:right="-72"/>
              <w:rPr>
                <w:sz w:val="24"/>
              </w:rPr>
            </w:pPr>
          </w:p>
        </w:tc>
        <w:tc>
          <w:tcPr>
            <w:tcW w:w="426" w:type="dxa"/>
            <w:vMerge w:val="continue"/>
          </w:tcPr>
          <w:p>
            <w:pPr>
              <w:pStyle w:val="10"/>
              <w:ind w:left="22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0" w:hRule="atLeast"/>
        </w:trPr>
        <w:tc>
          <w:tcPr>
            <w:tcW w:w="701" w:type="dxa"/>
            <w:vMerge w:val="continue"/>
          </w:tcPr>
          <w:p>
            <w:pPr>
              <w:pStyle w:val="10"/>
              <w:rPr>
                <w:rFonts w:ascii="Times New Roman"/>
                <w:sz w:val="24"/>
                <w:lang w:val="en-US"/>
              </w:rPr>
            </w:pPr>
          </w:p>
        </w:tc>
        <w:tc>
          <w:tcPr>
            <w:tcW w:w="574" w:type="dxa"/>
            <w:vMerge w:val="continue"/>
          </w:tcPr>
          <w:p>
            <w:pPr>
              <w:pStyle w:val="10"/>
              <w:spacing w:before="35" w:line="254" w:lineRule="auto"/>
              <w:ind w:left="167" w:right="154"/>
              <w:jc w:val="both"/>
              <w:rPr>
                <w:sz w:val="24"/>
              </w:rPr>
            </w:pPr>
          </w:p>
        </w:tc>
        <w:tc>
          <w:tcPr>
            <w:tcW w:w="1694" w:type="dxa"/>
            <w:vMerge w:val="continue"/>
          </w:tcPr>
          <w:p>
            <w:pPr>
              <w:pStyle w:val="10"/>
              <w:spacing w:before="1"/>
              <w:ind w:left="244"/>
              <w:rPr>
                <w:sz w:val="24"/>
              </w:rPr>
            </w:pPr>
          </w:p>
        </w:tc>
        <w:tc>
          <w:tcPr>
            <w:tcW w:w="4397" w:type="dxa"/>
            <w:tcBorders>
              <w:top w:val="single" w:color="auto" w:sz="4" w:space="0"/>
            </w:tcBorders>
          </w:tcPr>
          <w:p>
            <w:pPr>
              <w:widowControl/>
            </w:pPr>
            <w:r>
              <w:rPr>
                <w:rFonts w:hint="eastAsia"/>
                <w:color w:val="000000"/>
                <w:sz w:val="24"/>
                <w:szCs w:val="24"/>
                <w:lang w:val="en-US"/>
              </w:rPr>
              <w:t xml:space="preserve">行政处罚决定信息，包括： </w:t>
            </w:r>
          </w:p>
          <w:p>
            <w:pPr>
              <w:widowControl/>
            </w:pPr>
            <w:r>
              <w:rPr>
                <w:rFonts w:hint="eastAsia"/>
                <w:color w:val="000000"/>
                <w:sz w:val="24"/>
                <w:szCs w:val="24"/>
                <w:lang w:val="en-US"/>
              </w:rPr>
              <w:t xml:space="preserve">处罚决定书文号、处罚名称、处罚类别、 </w:t>
            </w:r>
          </w:p>
          <w:p>
            <w:pPr>
              <w:widowControl/>
            </w:pPr>
            <w:r>
              <w:rPr>
                <w:rFonts w:hint="eastAsia"/>
                <w:color w:val="000000"/>
                <w:sz w:val="24"/>
                <w:szCs w:val="24"/>
                <w:lang w:val="en-US"/>
              </w:rPr>
              <w:t xml:space="preserve">处罚事由、相对人名称、处罚依据、处罚 </w:t>
            </w:r>
          </w:p>
          <w:p>
            <w:pPr>
              <w:widowControl/>
            </w:pPr>
            <w:r>
              <w:rPr>
                <w:rFonts w:hint="eastAsia"/>
                <w:color w:val="000000"/>
                <w:sz w:val="24"/>
                <w:szCs w:val="24"/>
                <w:lang w:val="en-US"/>
              </w:rPr>
              <w:t>单位、处罚决定日期</w:t>
            </w:r>
          </w:p>
          <w:p>
            <w:pPr>
              <w:pStyle w:val="10"/>
              <w:spacing w:before="170"/>
              <w:ind w:left="107"/>
              <w:rPr>
                <w:sz w:val="24"/>
              </w:rPr>
            </w:pPr>
          </w:p>
        </w:tc>
        <w:tc>
          <w:tcPr>
            <w:tcW w:w="4961" w:type="dxa"/>
            <w:vMerge w:val="continue"/>
          </w:tcPr>
          <w:p>
            <w:pPr>
              <w:pStyle w:val="10"/>
              <w:spacing w:before="5"/>
              <w:ind w:left="108"/>
              <w:jc w:val="both"/>
              <w:rPr>
                <w:sz w:val="24"/>
              </w:rPr>
            </w:pPr>
          </w:p>
        </w:tc>
        <w:tc>
          <w:tcPr>
            <w:tcW w:w="1277" w:type="dxa"/>
            <w:vMerge w:val="continue"/>
          </w:tcPr>
          <w:p>
            <w:pPr>
              <w:pStyle w:val="10"/>
              <w:spacing w:line="254" w:lineRule="auto"/>
              <w:ind w:left="156" w:right="148"/>
              <w:jc w:val="center"/>
              <w:rPr>
                <w:sz w:val="24"/>
              </w:rPr>
            </w:pPr>
          </w:p>
        </w:tc>
        <w:tc>
          <w:tcPr>
            <w:tcW w:w="1275" w:type="dxa"/>
            <w:vMerge w:val="continue"/>
          </w:tcPr>
          <w:p>
            <w:pPr>
              <w:pStyle w:val="10"/>
              <w:spacing w:line="254" w:lineRule="auto"/>
              <w:ind w:left="158" w:right="144"/>
              <w:jc w:val="center"/>
              <w:rPr>
                <w:sz w:val="24"/>
              </w:rPr>
            </w:pPr>
          </w:p>
        </w:tc>
        <w:tc>
          <w:tcPr>
            <w:tcW w:w="4536" w:type="dxa"/>
            <w:vMerge w:val="continue"/>
          </w:tcPr>
          <w:p>
            <w:pPr>
              <w:pStyle w:val="10"/>
              <w:tabs>
                <w:tab w:val="left" w:pos="4068"/>
              </w:tabs>
              <w:spacing w:before="16"/>
              <w:ind w:left="108"/>
              <w:rPr>
                <w:sz w:val="24"/>
              </w:rPr>
            </w:pPr>
          </w:p>
        </w:tc>
        <w:tc>
          <w:tcPr>
            <w:tcW w:w="424" w:type="dxa"/>
            <w:vMerge w:val="continue"/>
          </w:tcPr>
          <w:p>
            <w:pPr>
              <w:pStyle w:val="10"/>
              <w:ind w:left="108" w:right="-58"/>
              <w:rPr>
                <w:sz w:val="24"/>
              </w:rPr>
            </w:pPr>
          </w:p>
        </w:tc>
        <w:tc>
          <w:tcPr>
            <w:tcW w:w="426" w:type="dxa"/>
            <w:vMerge w:val="continue"/>
          </w:tcPr>
          <w:p>
            <w:pPr>
              <w:pStyle w:val="10"/>
              <w:ind w:left="215"/>
              <w:rPr>
                <w:sz w:val="24"/>
              </w:rPr>
            </w:pPr>
          </w:p>
        </w:tc>
        <w:tc>
          <w:tcPr>
            <w:tcW w:w="424" w:type="dxa"/>
            <w:vMerge w:val="continue"/>
          </w:tcPr>
          <w:p>
            <w:pPr>
              <w:pStyle w:val="10"/>
              <w:ind w:left="110" w:right="-58"/>
              <w:rPr>
                <w:sz w:val="24"/>
              </w:rPr>
            </w:pPr>
          </w:p>
        </w:tc>
        <w:tc>
          <w:tcPr>
            <w:tcW w:w="424" w:type="dxa"/>
            <w:vMerge w:val="continue"/>
          </w:tcPr>
          <w:p>
            <w:pPr>
              <w:pStyle w:val="10"/>
              <w:ind w:left="214"/>
              <w:rPr>
                <w:sz w:val="24"/>
              </w:rPr>
            </w:pPr>
          </w:p>
        </w:tc>
        <w:tc>
          <w:tcPr>
            <w:tcW w:w="424" w:type="dxa"/>
            <w:vMerge w:val="continue"/>
          </w:tcPr>
          <w:p>
            <w:pPr>
              <w:pStyle w:val="10"/>
              <w:ind w:left="112" w:right="-72"/>
              <w:rPr>
                <w:sz w:val="24"/>
              </w:rPr>
            </w:pPr>
          </w:p>
        </w:tc>
        <w:tc>
          <w:tcPr>
            <w:tcW w:w="426" w:type="dxa"/>
            <w:vMerge w:val="continue"/>
          </w:tcPr>
          <w:p>
            <w:pPr>
              <w:pStyle w:val="10"/>
              <w:ind w:left="221"/>
              <w:rPr>
                <w:sz w:val="24"/>
              </w:rPr>
            </w:pPr>
          </w:p>
        </w:tc>
      </w:tr>
    </w:tbl>
    <w:p/>
    <w:p>
      <w:pPr>
        <w:pStyle w:val="2"/>
        <w:spacing w:before="33"/>
        <w:ind w:left="6391" w:right="6151"/>
        <w:jc w:val="center"/>
        <w:rPr>
          <w:w w:val="99"/>
        </w:rPr>
      </w:pPr>
    </w:p>
    <w:p>
      <w:pPr>
        <w:pStyle w:val="2"/>
        <w:spacing w:before="33"/>
        <w:ind w:left="6391" w:right="6151"/>
        <w:jc w:val="center"/>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201</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2</w:t>
            </w:r>
            <w:r>
              <w:rPr>
                <w:sz w:val="24"/>
              </w:rPr>
              <w:t xml:space="preserve">行政许可类事项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医师执业注册（含外国医师来华短期行医许可、台湾地区医师在大陆短期行医许可、香港澳门特别行政区医师在内地短期行医许可）</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color w:val="000000"/>
                <w:sz w:val="23"/>
              </w:rPr>
            </w:pPr>
            <w:r>
              <w:rPr>
                <w:rFonts w:hint="eastAsia"/>
                <w:color w:val="000000"/>
                <w:sz w:val="23"/>
              </w:rPr>
              <w:t xml:space="preserve"> 《医师执业注册管理办法》（国家卫生健康委令第</w:t>
            </w:r>
            <w:r>
              <w:rPr>
                <w:color w:val="000000"/>
                <w:sz w:val="23"/>
              </w:rPr>
              <w:t>13号，2017年2月28日）</w:t>
            </w:r>
          </w:p>
          <w:p>
            <w:pPr>
              <w:pStyle w:val="10"/>
              <w:spacing w:before="1" w:line="254" w:lineRule="auto"/>
              <w:ind w:left="111" w:right="284"/>
              <w:jc w:val="both"/>
              <w:rPr>
                <w:sz w:val="24"/>
              </w:rPr>
            </w:pPr>
            <w:r>
              <w:rPr>
                <w:color w:val="000000"/>
                <w:sz w:val="23"/>
              </w:rPr>
              <w:t>《中华人民共和国执业医师法》（1998年6月26日主席令第五号，2009年8月27日予以修改）</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t>办事指南，包括：适用范围、事项审查 类型、项目信息（项目名称、审批类 别）、办理依据、受理机 构、决定机构、审批数量、办理条件、 申请材料</w:t>
            </w:r>
            <w:r>
              <w:rPr>
                <w:rFonts w:hint="eastAsia"/>
              </w:rPr>
              <w:t>、</w:t>
            </w:r>
            <w:r>
              <w:t>基本流程、 办理方式、审批时限、审批收费依据及 标准、审批结果、结果送达、申请人权 利和义务、咨询途径、监督和投诉渠 道、办公地址和时间、公开查询方式等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过程信息，各地可根据实际情况适当公 开受理、审核、审批、送达等相关信息</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r>
              <w:t>结果信息，包括姓名、性别、类别、执 业地点、证书编码、主要执业机构、发 证（批准）机关等相关信息</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Pr>
        <w:pStyle w:val="2"/>
        <w:spacing w:before="33"/>
        <w:ind w:right="6151"/>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202</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2</w:t>
            </w:r>
            <w:r>
              <w:rPr>
                <w:sz w:val="24"/>
              </w:rPr>
              <w:t xml:space="preserve">行政许可类事项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放射源诊疗技术和医用辐射机构许可</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【法律】《中华人民共和国行政许可法》 （中华人民共和国主席令第 7 号） 【法律】《中华人民共和国职业病防治法》 （中华人民共和国主席令第 24 号 2018 年 12 月 29 日修改) 【行政法规】《医疗机构管理条例》（中华 人民共和国国务院令第 149 号 2016 年 2 月 6 日修订） 【行政法规】《放射性同位素与射线装置安 全和防护条例》（中华人民共和国国务院令 第 449 号 2014 年 7 月 29 日修订） 【部门规章及规范性文件】《放射诊疗管理 规定》（中华人民共和国卫生部令第 46 号 2016 年 1 月 19 日修正）</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办事指南，包括：适用范围、事项审查 类型、项目信息（项目名称、审批类 别）、办理依据、受理机 构、决定机构、审批数量、办理条件、 申请材料</w:t>
            </w:r>
            <w:r>
              <w:rPr>
                <w:rFonts w:hint="eastAsia"/>
              </w:rPr>
              <w:t>、</w:t>
            </w:r>
            <w:r>
              <w:t>基本流程、 办理方式、审批时限、审批收费依据及 标准、审批结果、结果送达、申请人权 利和义务、咨询途径、监督和投诉渠 道、办公地址和时间、公开查询方式等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过程信息，各地可根据实际情况适当公 开受理、审核、审批、送达等相关信息</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line="254" w:lineRule="auto"/>
              <w:ind w:left="102" w:right="195"/>
              <w:rPr>
                <w:sz w:val="24"/>
              </w:rPr>
            </w:pPr>
            <w:r>
              <w:t>结果信息——放射诊疗许可证信息</w:t>
            </w: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Pr>
        <w:pStyle w:val="2"/>
        <w:spacing w:before="33"/>
        <w:ind w:left="6391" w:right="6151"/>
        <w:jc w:val="center"/>
        <w:rPr>
          <w:w w:val="99"/>
        </w:rPr>
      </w:pPr>
    </w:p>
    <w:p>
      <w:pPr>
        <w:pStyle w:val="2"/>
        <w:spacing w:before="33"/>
        <w:ind w:left="6391" w:right="6151"/>
        <w:jc w:val="center"/>
        <w:rPr>
          <w:w w:val="99"/>
        </w:rPr>
      </w:pPr>
    </w:p>
    <w:p>
      <w:pPr>
        <w:pStyle w:val="2"/>
        <w:spacing w:before="33"/>
        <w:ind w:left="6391" w:right="6151"/>
        <w:jc w:val="center"/>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203</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2</w:t>
            </w:r>
            <w:r>
              <w:rPr>
                <w:sz w:val="24"/>
              </w:rPr>
              <w:t xml:space="preserve">行政许可类事项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权限内医疗机构（含香港、澳门、台湾地区投资者在内地设置独资医院）设置审批和执业登记</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r>
              <w:rPr>
                <w:rFonts w:hint="eastAsia"/>
                <w:sz w:val="24"/>
              </w:rPr>
              <w:t>《医疗机构管理条例》</w:t>
            </w:r>
            <w:r>
              <w:rPr>
                <w:sz w:val="24"/>
              </w:rPr>
              <w:t>(1994年国务院令第149号)</w:t>
            </w:r>
          </w:p>
          <w:p>
            <w:pPr>
              <w:pStyle w:val="10"/>
              <w:spacing w:before="1" w:line="254" w:lineRule="auto"/>
              <w:ind w:left="111" w:right="284"/>
              <w:jc w:val="both"/>
              <w:rPr>
                <w:color w:val="000000"/>
                <w:sz w:val="23"/>
              </w:rPr>
            </w:pPr>
            <w:r>
              <w:rPr>
                <w:rFonts w:hint="eastAsia"/>
                <w:color w:val="000000"/>
                <w:sz w:val="23"/>
              </w:rPr>
              <w:t xml:space="preserve"> 《黑龙江省医疗机构管理办法》</w:t>
            </w:r>
            <w:r>
              <w:rPr>
                <w:color w:val="000000"/>
                <w:sz w:val="23"/>
              </w:rPr>
              <w:t>(2016年黑龙江省人民政府令第3号)</w:t>
            </w:r>
          </w:p>
          <w:p>
            <w:pPr>
              <w:pStyle w:val="10"/>
              <w:spacing w:before="1" w:line="254" w:lineRule="auto"/>
              <w:ind w:left="111" w:right="284"/>
              <w:jc w:val="both"/>
              <w:rPr>
                <w:sz w:val="24"/>
              </w:rPr>
            </w:pPr>
            <w:r>
              <w:rPr>
                <w:rFonts w:hint="eastAsia"/>
                <w:sz w:val="24"/>
              </w:rPr>
              <w:t>《关于进一步改革完善医疗机构、医师审批工作的通知》</w:t>
            </w:r>
            <w:r>
              <w:rPr>
                <w:sz w:val="24"/>
              </w:rPr>
              <w:t xml:space="preserve"> 国卫医发〔2018〕19号</w:t>
            </w:r>
          </w:p>
          <w:p>
            <w:pPr>
              <w:pStyle w:val="10"/>
              <w:spacing w:before="1" w:line="254" w:lineRule="auto"/>
              <w:ind w:left="111" w:right="284"/>
              <w:jc w:val="both"/>
              <w:rPr>
                <w:sz w:val="24"/>
              </w:rPr>
            </w:pPr>
            <w:r>
              <w:rPr>
                <w:rFonts w:hint="eastAsia"/>
                <w:sz w:val="24"/>
              </w:rPr>
              <w:t>《省卫生计生委关于进一步规范医疗机构设置和执业登记管理的指导意见》（黑卫医规发（</w:t>
            </w:r>
            <w:r>
              <w:rPr>
                <w:sz w:val="24"/>
              </w:rPr>
              <w:t>2018）16号）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办事指南，包括：适用范围、事项审查 类型、项目信息（项目名称、审批类 别）、办理依据、受理机 构、决定机构、审批数量、办理条件、 申请材料</w:t>
            </w:r>
            <w:r>
              <w:rPr>
                <w:rFonts w:hint="eastAsia"/>
              </w:rPr>
              <w:t>、</w:t>
            </w:r>
            <w:r>
              <w:t>基本流程、 办理方式、审批时限、审批收费依据及 标准、审批结果、结果送达、申请人权 利和义务、咨询途径、监督和投诉渠 道、办公地址和时间、公开查询方式等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过程信息，各地可根据实际情况适当公 开受理、审核、审批、送达等相关信息</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r>
              <w:t>结果信息，包括姓名、性别、类别、执 业地点、证书编码、主要执业机构、发 证（批准）机关等相关信息</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Pr>
        <w:pStyle w:val="2"/>
        <w:spacing w:before="33"/>
        <w:ind w:left="6391" w:right="6151"/>
        <w:jc w:val="center"/>
        <w:rPr>
          <w:w w:val="99"/>
        </w:rPr>
      </w:pPr>
    </w:p>
    <w:p>
      <w:pPr>
        <w:pStyle w:val="2"/>
        <w:spacing w:before="33"/>
        <w:ind w:left="6391" w:right="6151"/>
        <w:jc w:val="center"/>
        <w:rPr>
          <w:w w:val="99"/>
        </w:rPr>
      </w:pPr>
    </w:p>
    <w:p>
      <w:pPr>
        <w:pStyle w:val="2"/>
        <w:spacing w:before="33"/>
        <w:ind w:left="6391" w:right="6151"/>
        <w:jc w:val="center"/>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204</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2</w:t>
            </w:r>
            <w:r>
              <w:rPr>
                <w:sz w:val="24"/>
              </w:rPr>
              <w:t xml:space="preserve">行政许可类事项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再生育审批</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《黑龙江省人口与计划生育条例》</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办事指南，包括：适用范围、事项审查 类型、项目信息（项目名称、审批类 别）、办理依据、受理机 构、决定机构、审批数量、办理条件、 申请材料</w:t>
            </w:r>
            <w:r>
              <w:rPr>
                <w:rFonts w:hint="eastAsia"/>
              </w:rPr>
              <w:t>、</w:t>
            </w:r>
            <w:r>
              <w:t>基本流程、 办理方式、审批时限、审批收费依据及 标准、审批结果、结果送达、申请人权 利和义务、咨询途径、监督和投诉渠 道、办公地址和时间、公开查询方式等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过程信息，各地可根据实际情况适当公 开受理、审核、审批、送达等相关信息</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sz w:val="24"/>
              </w:rPr>
            </w:pPr>
            <w:r>
              <w:t>结果信息—</w:t>
            </w:r>
            <w:r>
              <w:rPr>
                <w:rFonts w:hint="eastAsia"/>
              </w:rPr>
              <w:t>再生育证件相关信息</w:t>
            </w:r>
            <w:r>
              <w:rPr>
                <w:sz w:val="24"/>
              </w:rPr>
              <w:t xml:space="preserve"> </w:t>
            </w: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Pr>
        <w:pStyle w:val="2"/>
        <w:spacing w:before="33"/>
        <w:ind w:left="6391" w:right="6151"/>
        <w:jc w:val="center"/>
        <w:rPr>
          <w:w w:val="99"/>
        </w:rPr>
      </w:pPr>
    </w:p>
    <w:p>
      <w:pPr>
        <w:pStyle w:val="2"/>
        <w:spacing w:before="33"/>
        <w:ind w:left="6391" w:right="6151"/>
        <w:jc w:val="center"/>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205</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2</w:t>
            </w:r>
            <w:r>
              <w:rPr>
                <w:sz w:val="24"/>
              </w:rPr>
              <w:t xml:space="preserve">行政许可类事项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权限内母婴保健技术服务机构执业许可</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color w:val="000000"/>
                <w:sz w:val="23"/>
              </w:rPr>
            </w:pPr>
            <w:r>
              <w:rPr>
                <w:rFonts w:hint="eastAsia"/>
                <w:color w:val="000000"/>
                <w:sz w:val="23"/>
              </w:rPr>
              <w:t xml:space="preserve"> 中华人民共和国母婴保健法</w:t>
            </w:r>
            <w:r>
              <w:rPr>
                <w:color w:val="000000"/>
                <w:sz w:val="23"/>
              </w:rPr>
              <w:t>(2009年8月27日修正版)</w:t>
            </w:r>
          </w:p>
          <w:p>
            <w:pPr>
              <w:pStyle w:val="10"/>
              <w:spacing w:before="1" w:line="254" w:lineRule="auto"/>
              <w:ind w:left="111" w:right="284"/>
              <w:jc w:val="both"/>
              <w:rPr>
                <w:sz w:val="24"/>
              </w:rPr>
            </w:pPr>
            <w:r>
              <w:rPr>
                <w:rFonts w:hint="eastAsia"/>
                <w:sz w:val="24"/>
              </w:rPr>
              <w:t>《中华人民共和国母婴保健法实施办法》</w:t>
            </w:r>
            <w:r>
              <w:rPr>
                <w:sz w:val="24"/>
              </w:rPr>
              <w:t>(2001年国务院令第308号)</w:t>
            </w:r>
          </w:p>
          <w:p>
            <w:pPr>
              <w:pStyle w:val="10"/>
              <w:spacing w:before="1" w:line="254" w:lineRule="auto"/>
              <w:ind w:left="111" w:right="284"/>
              <w:jc w:val="both"/>
              <w:rPr>
                <w:sz w:val="24"/>
              </w:rPr>
            </w:pPr>
            <w:r>
              <w:rPr>
                <w:rFonts w:hint="eastAsia"/>
                <w:sz w:val="24"/>
              </w:rPr>
              <w:t>黑龙江省母婴保健条例（</w:t>
            </w:r>
            <w:r>
              <w:rPr>
                <w:sz w:val="24"/>
              </w:rPr>
              <w:t>2016修正版）</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办事指南，包括：适用范围、事项审查 类型、项目信息（项目名称、审批类 别）、办理依据、受理机 构、决定机构、审批数量、办理条件、 申请材料</w:t>
            </w:r>
            <w:r>
              <w:rPr>
                <w:rFonts w:hint="eastAsia"/>
              </w:rPr>
              <w:t>、</w:t>
            </w:r>
            <w:r>
              <w:t>基本流程、 办理方式、审批时限、审批收费依据及 标准、审批结果、结果送达、申请人权 利和义务、咨询途径、监督和投诉渠 道、办公地址和时间、公开查询方式等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过程信息，各地可根据实际情况适当公 开受理、审核、审批、送达等相关信息</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r>
              <w:t>结果信息，包括姓名、性别、类别、执 业地点、证书编码、主要执业机构、发 证（批准）机关等相关信息</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Pr>
        <w:pStyle w:val="2"/>
        <w:spacing w:before="33"/>
        <w:ind w:left="6391" w:right="6151"/>
        <w:jc w:val="center"/>
        <w:rPr>
          <w:w w:val="99"/>
        </w:rPr>
      </w:pPr>
    </w:p>
    <w:p>
      <w:pPr>
        <w:pStyle w:val="2"/>
        <w:spacing w:before="33"/>
        <w:ind w:left="6391" w:right="6151"/>
        <w:jc w:val="center"/>
        <w:rPr>
          <w:w w:val="99"/>
        </w:rPr>
      </w:pPr>
    </w:p>
    <w:p>
      <w:pPr>
        <w:pStyle w:val="2"/>
        <w:spacing w:before="33"/>
        <w:ind w:left="6391" w:right="6151"/>
        <w:jc w:val="center"/>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206</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2</w:t>
            </w:r>
            <w:r>
              <w:rPr>
                <w:sz w:val="24"/>
              </w:rPr>
              <w:t xml:space="preserve">行政许可类事项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乡村医生执业注册</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pPr>
            <w:r>
              <w:rPr>
                <w:rFonts w:hint="eastAsia"/>
                <w:color w:val="000000"/>
                <w:sz w:val="23"/>
              </w:rPr>
              <w:t xml:space="preserve"> </w:t>
            </w:r>
            <w:r>
              <w:t>【法律】《中华人民共和国行政许可法》 （中华人民共和国主席令第 7 号）</w:t>
            </w:r>
          </w:p>
          <w:p>
            <w:pPr>
              <w:pStyle w:val="10"/>
              <w:spacing w:before="1" w:line="254" w:lineRule="auto"/>
              <w:ind w:left="111" w:right="284"/>
              <w:jc w:val="both"/>
            </w:pPr>
            <w:r>
              <w:t xml:space="preserve"> 【法律】《中华人民共和国执业医师法》 （中华人民共和国主席令第 5 号 2009 年 8 月 27 日修正）</w:t>
            </w:r>
          </w:p>
          <w:p>
            <w:pPr>
              <w:pStyle w:val="10"/>
              <w:spacing w:before="1" w:line="254" w:lineRule="auto"/>
              <w:ind w:left="111" w:right="284"/>
              <w:jc w:val="both"/>
              <w:rPr>
                <w:sz w:val="24"/>
              </w:rPr>
            </w:pPr>
            <w:r>
              <w:t xml:space="preserve"> 【行政法规】《乡村医生从业管理条例》 （中华人民共和国国务院令第 386 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办事指南，包括：适用范围、事项审查 类型、项目信息（项目名称、审批类 别）、办理依据、受理机 构、决定机构、审批数量、办理条件、 申请材料</w:t>
            </w:r>
            <w:r>
              <w:rPr>
                <w:rFonts w:hint="eastAsia"/>
              </w:rPr>
              <w:t>、</w:t>
            </w:r>
            <w:r>
              <w:t>基本流程、 办理方式、审批时限、审批收费依据及 标准、审批结果、结果送达、申请人权 利和义务、咨询途径、监督和投诉渠 道、办公地址和时间、公开查询方式等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过程信息，各地可根据实际情况适当公 开受理、审核、审批、送达等相关信息</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r>
              <w:t>结果信息，包括姓名、性别、类别、执 业地点、证书编码、主要执业机构、发 证（批准）机关等相关信息</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Pr>
        <w:pStyle w:val="2"/>
        <w:spacing w:before="33"/>
        <w:ind w:right="6151"/>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207</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2</w:t>
            </w:r>
            <w:r>
              <w:rPr>
                <w:sz w:val="24"/>
              </w:rPr>
              <w:t xml:space="preserve">行政许可类事项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公共场所以及新建、改建、扩建的公共场所的选址和设计卫生许可</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 【法律】《中华人民共和国行政许可法》（中华人民共和国主席令第7号） </w:t>
            </w:r>
          </w:p>
          <w:p>
            <w:pPr>
              <w:rPr>
                <w:color w:val="000000"/>
                <w:sz w:val="23"/>
              </w:rPr>
            </w:pPr>
            <w:r>
              <w:rPr>
                <w:rFonts w:hint="eastAsia"/>
                <w:color w:val="000000"/>
                <w:sz w:val="23"/>
              </w:rPr>
              <w:t xml:space="preserve">【行政法规】《公共场所卫生管理条例》（国发〔1987〕24号 2016年2月6日修订） </w:t>
            </w:r>
          </w:p>
          <w:p>
            <w:pPr>
              <w:rPr>
                <w:color w:val="000000"/>
                <w:sz w:val="23"/>
              </w:rPr>
            </w:pPr>
            <w:r>
              <w:rPr>
                <w:rFonts w:hint="eastAsia"/>
                <w:color w:val="000000"/>
                <w:sz w:val="23"/>
              </w:rPr>
              <w:t xml:space="preserve">【行政法规】《艾滋病防治条例》（中华人民共和国国务院令第457号） </w:t>
            </w:r>
          </w:p>
          <w:p>
            <w:pPr>
              <w:rPr>
                <w:color w:val="000000"/>
                <w:sz w:val="23"/>
              </w:rPr>
            </w:pPr>
            <w:r>
              <w:rPr>
                <w:rFonts w:hint="eastAsia"/>
                <w:color w:val="000000"/>
                <w:sz w:val="23"/>
              </w:rPr>
              <w:t>【国务院文件】《国务院关于在全国推开</w:t>
            </w:r>
            <w:r>
              <w:rPr>
                <w:color w:val="000000"/>
                <w:sz w:val="23"/>
              </w:rPr>
              <w:t>“</w:t>
            </w:r>
            <w:r>
              <w:rPr>
                <w:rFonts w:hint="eastAsia"/>
                <w:color w:val="000000"/>
                <w:sz w:val="23"/>
              </w:rPr>
              <w:t>证照分离</w:t>
            </w:r>
            <w:r>
              <w:rPr>
                <w:color w:val="000000"/>
                <w:sz w:val="23"/>
              </w:rPr>
              <w:t>”</w:t>
            </w:r>
            <w:r>
              <w:rPr>
                <w:rFonts w:hint="eastAsia"/>
                <w:color w:val="000000"/>
                <w:sz w:val="23"/>
              </w:rPr>
              <w:t xml:space="preserve">改革的通知》（国发〔2018〕35号） </w:t>
            </w:r>
          </w:p>
          <w:p>
            <w:pPr>
              <w:rPr>
                <w:color w:val="000000"/>
                <w:sz w:val="23"/>
              </w:rPr>
            </w:pPr>
            <w:r>
              <w:rPr>
                <w:rFonts w:hint="eastAsia"/>
                <w:color w:val="000000"/>
                <w:sz w:val="23"/>
              </w:rPr>
              <w:t xml:space="preserve">【国务院文件】《国务院关于整合调整餐饮服务场所的公共场所卫生许可证和食品经营许可的决定》（国发〔2016〕12号） </w:t>
            </w:r>
          </w:p>
          <w:p>
            <w:pPr>
              <w:rPr>
                <w:color w:val="000000"/>
                <w:sz w:val="23"/>
              </w:rPr>
            </w:pPr>
            <w:r>
              <w:rPr>
                <w:rFonts w:hint="eastAsia"/>
                <w:color w:val="000000"/>
                <w:sz w:val="23"/>
              </w:rPr>
              <w:t xml:space="preserve">【国务院文件】《国务院关于第六批取消和调整行政审批项目的决定》（国发〔2012〕52号） </w:t>
            </w:r>
          </w:p>
          <w:p>
            <w:pPr>
              <w:rPr>
                <w:color w:val="000000"/>
                <w:sz w:val="23"/>
              </w:rPr>
            </w:pPr>
            <w:r>
              <w:rPr>
                <w:rFonts w:hint="eastAsia"/>
                <w:color w:val="000000"/>
                <w:sz w:val="23"/>
              </w:rPr>
              <w:t xml:space="preserve">【部门规章及规范性文件】《公共场所卫生管理条例实施细则》（中华人民共和国卫生部令第80号 2017年12月26修正） </w:t>
            </w:r>
          </w:p>
          <w:p>
            <w:pPr>
              <w:pStyle w:val="10"/>
              <w:spacing w:before="1" w:line="254" w:lineRule="auto"/>
              <w:ind w:left="111" w:right="284"/>
              <w:jc w:val="both"/>
              <w:rPr>
                <w:sz w:val="24"/>
              </w:rPr>
            </w:pPr>
            <w:r>
              <w:rPr>
                <w:rFonts w:hint="eastAsia"/>
                <w:color w:val="000000"/>
                <w:sz w:val="23"/>
              </w:rPr>
              <w:t>【部门规章及规范性文件】《关于全面推开公共场所卫生许可告知承诺制改革有关事项的通知》（国卫办监督发〔2018〕27号）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办事指南，包括：适用范围、事项审查 类型、项目信息（项目名称、审批类 别）、办理依据、受理机 构、决定机构、审批数量、办理条件、 申请材料</w:t>
            </w:r>
            <w:r>
              <w:rPr>
                <w:rFonts w:hint="eastAsia"/>
              </w:rPr>
              <w:t>、</w:t>
            </w:r>
            <w:r>
              <w:t>基本流程、 办理方式、审批时限、审批收费依据及 标准、审批结果、结果送达、申请人权 利和义务、咨询途径、监督和投诉渠 道、办公地址和时间、公开查询方式等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过程信息，各地可根据实际情况适当公 开受理、审核、审批、送达等相关信息</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line="254" w:lineRule="auto"/>
              <w:ind w:left="102" w:right="195"/>
              <w:rPr>
                <w:sz w:val="24"/>
              </w:rPr>
            </w:pPr>
            <w:r>
              <w:t>结果信息</w:t>
            </w:r>
            <w:r>
              <w:rPr>
                <w:sz w:val="24"/>
              </w:rPr>
              <w:t>——</w:t>
            </w:r>
            <w:r>
              <w:rPr>
                <w:color w:val="000000"/>
                <w:sz w:val="23"/>
              </w:rPr>
              <w:t>卫生许可证信息</w:t>
            </w:r>
          </w:p>
          <w:p>
            <w:pPr>
              <w:pStyle w:val="10"/>
              <w:spacing w:line="254" w:lineRule="auto"/>
              <w:ind w:left="102" w:right="195"/>
              <w:rPr>
                <w:sz w:val="24"/>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Pr>
        <w:pStyle w:val="2"/>
        <w:spacing w:before="33"/>
        <w:ind w:left="6391" w:right="6151"/>
        <w:jc w:val="center"/>
        <w:rPr>
          <w:w w:val="99"/>
        </w:rPr>
      </w:pPr>
    </w:p>
    <w:p>
      <w:pPr>
        <w:pStyle w:val="2"/>
        <w:spacing w:before="33"/>
        <w:ind w:left="6391" w:right="6151"/>
        <w:jc w:val="center"/>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208</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2</w:t>
            </w:r>
            <w:r>
              <w:rPr>
                <w:sz w:val="24"/>
              </w:rPr>
              <w:t xml:space="preserve">行政许可类事项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权限内饮用水供水单位卫生许可</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widowControl/>
            </w:pPr>
            <w:r>
              <w:rPr>
                <w:rFonts w:hint="eastAsia"/>
                <w:color w:val="000000"/>
                <w:sz w:val="23"/>
              </w:rPr>
              <w:t xml:space="preserve"> </w:t>
            </w:r>
            <w:r>
              <w:rPr>
                <w:rFonts w:hint="eastAsia"/>
                <w:color w:val="000000"/>
                <w:sz w:val="24"/>
                <w:szCs w:val="24"/>
                <w:lang w:val="en-US"/>
              </w:rPr>
              <w:t xml:space="preserve">【法律】《中华人民共和国行政许可法》 </w:t>
            </w:r>
          </w:p>
          <w:p>
            <w:pPr>
              <w:widowControl/>
            </w:pPr>
            <w:r>
              <w:rPr>
                <w:rFonts w:hint="eastAsia"/>
                <w:color w:val="000000"/>
                <w:sz w:val="24"/>
                <w:szCs w:val="24"/>
                <w:lang w:val="en-US"/>
              </w:rPr>
              <w:t xml:space="preserve">（中华人民共和国主席令第 7 号） </w:t>
            </w:r>
          </w:p>
          <w:p>
            <w:pPr>
              <w:widowControl/>
            </w:pPr>
            <w:r>
              <w:rPr>
                <w:rFonts w:hint="eastAsia"/>
                <w:color w:val="000000"/>
                <w:sz w:val="24"/>
                <w:szCs w:val="24"/>
                <w:lang w:val="en-US"/>
              </w:rPr>
              <w:t xml:space="preserve">【法律】《中华人民共和国传染病防治法》 </w:t>
            </w:r>
          </w:p>
          <w:p>
            <w:pPr>
              <w:widowControl/>
            </w:pPr>
            <w:r>
              <w:rPr>
                <w:rFonts w:hint="eastAsia"/>
                <w:color w:val="000000"/>
                <w:sz w:val="24"/>
                <w:szCs w:val="24"/>
                <w:lang w:val="en-US"/>
              </w:rPr>
              <w:t xml:space="preserve">（2013 年 6 月 29 日修正） </w:t>
            </w:r>
          </w:p>
          <w:p>
            <w:pPr>
              <w:widowControl/>
            </w:pPr>
            <w:r>
              <w:rPr>
                <w:rFonts w:hint="eastAsia"/>
                <w:color w:val="000000"/>
                <w:sz w:val="24"/>
                <w:szCs w:val="24"/>
                <w:lang w:val="en-US"/>
              </w:rPr>
              <w:t xml:space="preserve">【行政法规】《中华人民共和国传染病防治 </w:t>
            </w:r>
          </w:p>
          <w:p>
            <w:pPr>
              <w:widowControl/>
            </w:pPr>
            <w:r>
              <w:rPr>
                <w:rFonts w:hint="eastAsia"/>
                <w:color w:val="000000"/>
                <w:sz w:val="24"/>
                <w:szCs w:val="24"/>
                <w:lang w:val="en-US"/>
              </w:rPr>
              <w:t xml:space="preserve">法实施办法》（中华人民共和国卫生部令第 </w:t>
            </w:r>
          </w:p>
          <w:p>
            <w:pPr>
              <w:widowControl/>
            </w:pPr>
            <w:r>
              <w:rPr>
                <w:rFonts w:hint="eastAsia"/>
                <w:color w:val="000000"/>
                <w:sz w:val="24"/>
                <w:szCs w:val="24"/>
                <w:lang w:val="en-US"/>
              </w:rPr>
              <w:t xml:space="preserve">17 号） </w:t>
            </w:r>
          </w:p>
          <w:p>
            <w:pPr>
              <w:widowControl/>
            </w:pPr>
            <w:r>
              <w:rPr>
                <w:rFonts w:hint="eastAsia"/>
                <w:color w:val="000000"/>
                <w:sz w:val="24"/>
                <w:szCs w:val="24"/>
                <w:lang w:val="en-US"/>
              </w:rPr>
              <w:t xml:space="preserve">【行政法规】《国务院对确需保留的行政审 </w:t>
            </w:r>
          </w:p>
          <w:p>
            <w:pPr>
              <w:widowControl/>
            </w:pPr>
            <w:r>
              <w:rPr>
                <w:rFonts w:hint="eastAsia"/>
                <w:color w:val="000000"/>
                <w:sz w:val="24"/>
                <w:szCs w:val="24"/>
                <w:lang w:val="en-US"/>
              </w:rPr>
              <w:t xml:space="preserve">批项目设定行政许可的决定》（中华人民共 </w:t>
            </w:r>
          </w:p>
          <w:p>
            <w:pPr>
              <w:widowControl/>
            </w:pPr>
            <w:r>
              <w:rPr>
                <w:rFonts w:hint="eastAsia"/>
                <w:color w:val="000000"/>
                <w:sz w:val="24"/>
                <w:szCs w:val="24"/>
                <w:lang w:val="en-US"/>
              </w:rPr>
              <w:t xml:space="preserve">和国国务院令第 412 号） </w:t>
            </w:r>
          </w:p>
          <w:p>
            <w:pPr>
              <w:widowControl/>
            </w:pPr>
            <w:r>
              <w:rPr>
                <w:rFonts w:hint="eastAsia"/>
                <w:color w:val="000000"/>
                <w:sz w:val="24"/>
                <w:szCs w:val="24"/>
                <w:lang w:val="en-US"/>
              </w:rPr>
              <w:t xml:space="preserve">【部门规章及规范性文件】《生活饮用水卫 </w:t>
            </w:r>
          </w:p>
          <w:p>
            <w:pPr>
              <w:widowControl/>
            </w:pPr>
            <w:r>
              <w:rPr>
                <w:rFonts w:hint="eastAsia"/>
                <w:color w:val="000000"/>
                <w:sz w:val="24"/>
                <w:szCs w:val="24"/>
                <w:lang w:val="en-US"/>
              </w:rPr>
              <w:t xml:space="preserve">生监督管理办法》（中华人民共和国建设 </w:t>
            </w:r>
          </w:p>
          <w:p>
            <w:pPr>
              <w:widowControl/>
            </w:pPr>
            <w:r>
              <w:rPr>
                <w:rFonts w:hint="eastAsia"/>
                <w:color w:val="000000"/>
                <w:sz w:val="24"/>
                <w:szCs w:val="24"/>
                <w:lang w:val="en-US"/>
              </w:rPr>
              <w:t>部、卫生部令第 53 号）</w:t>
            </w:r>
          </w:p>
          <w:p>
            <w:pPr>
              <w:pStyle w:val="10"/>
              <w:spacing w:before="1" w:line="254" w:lineRule="auto"/>
              <w:ind w:left="111" w:right="284"/>
              <w:jc w:val="both"/>
              <w:rPr>
                <w:sz w:val="24"/>
              </w:rPr>
            </w:pP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办事指南，包括：适用范围、事项审查 类型、项目信息（项目名称、审批类 别）、办理依据、受理机 构、决定机构、审批数量、办理条件、 申请材料</w:t>
            </w:r>
            <w:r>
              <w:rPr>
                <w:rFonts w:hint="eastAsia"/>
              </w:rPr>
              <w:t>、</w:t>
            </w:r>
            <w:r>
              <w:t>基本流程、 办理方式、审批时限、审批收费依据及 标准、审批结果、结果送达、申请人权 利和义务、咨询途径、监督和投诉渠 道、办公地址和时间、公开查询方式等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过程信息，各地可根据实际情况适当公 开受理、审核、审批、送达等相关信息</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r>
              <w:t>结果信息，包括姓名、性别、类别、执 业地点、证书编码、主要执业机构、发 证（批准）机关等相关信息</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Pr>
        <w:pStyle w:val="2"/>
        <w:spacing w:before="33"/>
        <w:ind w:left="6391" w:right="6151"/>
        <w:jc w:val="center"/>
        <w:rPr>
          <w:w w:val="99"/>
        </w:rPr>
      </w:pPr>
    </w:p>
    <w:p>
      <w:pPr>
        <w:pStyle w:val="2"/>
        <w:spacing w:before="33"/>
        <w:ind w:right="6151"/>
      </w:pPr>
    </w:p>
    <w:p>
      <w:pPr>
        <w:rPr>
          <w:b/>
          <w:sz w:val="20"/>
        </w:rPr>
      </w:pPr>
    </w:p>
    <w:p>
      <w:pPr>
        <w:spacing w:before="6"/>
        <w:rPr>
          <w:b/>
          <w:sz w:val="16"/>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r>
              <w:rPr>
                <w:rFonts w:hint="eastAsia"/>
                <w:sz w:val="24"/>
              </w:rPr>
              <w:t>0301</w:t>
            </w:r>
          </w:p>
          <w:p>
            <w:pPr>
              <w:pStyle w:val="10"/>
              <w:rPr>
                <w:sz w:val="24"/>
              </w:rPr>
            </w:pPr>
          </w:p>
          <w:p>
            <w:pPr>
              <w:pStyle w:val="10"/>
              <w:rPr>
                <w:sz w:val="24"/>
              </w:rPr>
            </w:pPr>
          </w:p>
          <w:p>
            <w:pPr>
              <w:pStyle w:val="10"/>
              <w:rPr>
                <w:sz w:val="24"/>
              </w:rPr>
            </w:pPr>
          </w:p>
          <w:p>
            <w:pPr>
              <w:pStyle w:val="10"/>
              <w:spacing w:before="12"/>
              <w:rPr>
                <w:sz w:val="19"/>
              </w:rPr>
            </w:pPr>
          </w:p>
          <w:p>
            <w:pPr>
              <w:pStyle w:val="10"/>
              <w:ind w:left="110" w:right="-29"/>
              <w:rPr>
                <w:sz w:val="24"/>
              </w:rPr>
            </w:pPr>
            <w:r>
              <w:rPr>
                <w:sz w:val="24"/>
              </w:rPr>
              <w:t xml:space="preserve"> </w:t>
            </w:r>
          </w:p>
        </w:tc>
        <w:tc>
          <w:tcPr>
            <w:tcW w:w="574"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r>
              <w:rPr>
                <w:rFonts w:hint="eastAsia"/>
                <w:sz w:val="24"/>
              </w:rPr>
              <w:t>03</w:t>
            </w:r>
          </w:p>
          <w:p>
            <w:pPr>
              <w:pStyle w:val="10"/>
              <w:rPr>
                <w:sz w:val="24"/>
              </w:rPr>
            </w:pPr>
            <w:r>
              <w:rPr>
                <w:rFonts w:hint="eastAsia"/>
                <w:sz w:val="24"/>
              </w:rPr>
              <w:t>行</w:t>
            </w:r>
          </w:p>
          <w:p>
            <w:pPr>
              <w:pStyle w:val="10"/>
              <w:rPr>
                <w:sz w:val="24"/>
              </w:rPr>
            </w:pPr>
            <w:r>
              <w:rPr>
                <w:rFonts w:hint="eastAsia"/>
                <w:sz w:val="24"/>
              </w:rPr>
              <w:t>政</w:t>
            </w:r>
          </w:p>
          <w:p>
            <w:pPr>
              <w:pStyle w:val="10"/>
              <w:rPr>
                <w:sz w:val="24"/>
              </w:rPr>
            </w:pPr>
            <w:r>
              <w:rPr>
                <w:rFonts w:hint="eastAsia"/>
                <w:sz w:val="24"/>
              </w:rPr>
              <w:t>确</w:t>
            </w:r>
          </w:p>
          <w:p>
            <w:pPr>
              <w:pStyle w:val="10"/>
              <w:rPr>
                <w:sz w:val="24"/>
              </w:rPr>
            </w:pPr>
            <w:r>
              <w:rPr>
                <w:rFonts w:hint="eastAsia"/>
                <w:sz w:val="24"/>
              </w:rPr>
              <w:t>认</w:t>
            </w:r>
          </w:p>
          <w:p>
            <w:pPr>
              <w:pStyle w:val="10"/>
              <w:rPr>
                <w:sz w:val="24"/>
              </w:rPr>
            </w:pPr>
            <w:r>
              <w:rPr>
                <w:rFonts w:hint="eastAsia"/>
                <w:sz w:val="24"/>
              </w:rPr>
              <w:t>类</w:t>
            </w:r>
          </w:p>
          <w:p>
            <w:pPr>
              <w:pStyle w:val="10"/>
              <w:rPr>
                <w:sz w:val="24"/>
              </w:rPr>
            </w:pPr>
            <w:r>
              <w:rPr>
                <w:rFonts w:hint="eastAsia"/>
                <w:sz w:val="24"/>
              </w:rPr>
              <w:t>事</w:t>
            </w:r>
          </w:p>
          <w:p>
            <w:pPr>
              <w:pStyle w:val="10"/>
              <w:rPr>
                <w:sz w:val="24"/>
              </w:rPr>
            </w:pPr>
            <w:r>
              <w:rPr>
                <w:rFonts w:hint="eastAsia"/>
                <w:sz w:val="24"/>
              </w:rPr>
              <w:t>项</w:t>
            </w:r>
          </w:p>
          <w:p>
            <w:pPr>
              <w:pStyle w:val="10"/>
              <w:rPr>
                <w:sz w:val="24"/>
              </w:rPr>
            </w:pPr>
          </w:p>
          <w:p>
            <w:pPr>
              <w:pStyle w:val="10"/>
              <w:spacing w:before="12"/>
              <w:rPr>
                <w:sz w:val="26"/>
              </w:rPr>
            </w:pPr>
          </w:p>
          <w:p>
            <w:pPr>
              <w:pStyle w:val="10"/>
              <w:spacing w:line="254" w:lineRule="auto"/>
              <w:ind w:left="167" w:right="34"/>
              <w:rPr>
                <w:sz w:val="24"/>
              </w:rPr>
            </w:pPr>
          </w:p>
        </w:tc>
        <w:tc>
          <w:tcPr>
            <w:tcW w:w="1699"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r>
              <w:rPr>
                <w:rFonts w:hint="eastAsia"/>
                <w:sz w:val="24"/>
              </w:rPr>
              <w:t>农村部分计划</w:t>
            </w:r>
          </w:p>
          <w:p>
            <w:pPr>
              <w:pStyle w:val="10"/>
              <w:rPr>
                <w:sz w:val="24"/>
              </w:rPr>
            </w:pPr>
            <w:r>
              <w:rPr>
                <w:rFonts w:hint="eastAsia"/>
                <w:sz w:val="24"/>
              </w:rPr>
              <w:t>生育家庭奖励</w:t>
            </w:r>
          </w:p>
          <w:p>
            <w:pPr>
              <w:pStyle w:val="10"/>
              <w:rPr>
                <w:sz w:val="24"/>
              </w:rPr>
            </w:pPr>
            <w:r>
              <w:rPr>
                <w:rFonts w:hint="eastAsia"/>
                <w:sz w:val="24"/>
              </w:rPr>
              <w:t>扶助</w:t>
            </w:r>
          </w:p>
          <w:p>
            <w:pPr>
              <w:pStyle w:val="10"/>
              <w:spacing w:before="201" w:line="254" w:lineRule="auto"/>
              <w:ind w:left="124" w:right="122"/>
              <w:jc w:val="center"/>
              <w:rPr>
                <w:sz w:val="24"/>
              </w:rPr>
            </w:pPr>
          </w:p>
        </w:tc>
        <w:tc>
          <w:tcPr>
            <w:tcW w:w="4389" w:type="dxa"/>
          </w:tcPr>
          <w:p>
            <w:pPr>
              <w:pStyle w:val="10"/>
              <w:spacing w:before="4"/>
              <w:rPr>
                <w:sz w:val="24"/>
              </w:rPr>
            </w:pPr>
            <w:r>
              <w:rPr>
                <w:rFonts w:hint="eastAsia"/>
                <w:sz w:val="24"/>
              </w:rPr>
              <w:t>法律法规和政策文件</w:t>
            </w:r>
          </w:p>
          <w:p>
            <w:pPr>
              <w:pStyle w:val="10"/>
              <w:ind w:left="102"/>
              <w:rPr>
                <w:sz w:val="24"/>
              </w:rPr>
            </w:pPr>
          </w:p>
        </w:tc>
        <w:tc>
          <w:tcPr>
            <w:tcW w:w="4968" w:type="dxa"/>
            <w:vMerge w:val="restart"/>
          </w:tcPr>
          <w:p>
            <w:pPr>
              <w:pStyle w:val="10"/>
              <w:rPr>
                <w:sz w:val="24"/>
              </w:rPr>
            </w:pPr>
          </w:p>
          <w:p>
            <w:pPr>
              <w:pStyle w:val="10"/>
              <w:rPr>
                <w:sz w:val="24"/>
              </w:rPr>
            </w:pPr>
          </w:p>
          <w:p>
            <w:pPr>
              <w:pStyle w:val="10"/>
              <w:rPr>
                <w:sz w:val="24"/>
              </w:rPr>
            </w:pPr>
            <w:r>
              <w:rPr>
                <w:rFonts w:hint="eastAsia"/>
                <w:sz w:val="24"/>
              </w:rPr>
              <w:t>【法律】《中华人民共和国人口与计划生育</w:t>
            </w:r>
          </w:p>
          <w:p>
            <w:pPr>
              <w:pStyle w:val="10"/>
              <w:rPr>
                <w:sz w:val="24"/>
              </w:rPr>
            </w:pPr>
            <w:r>
              <w:rPr>
                <w:rFonts w:hint="eastAsia"/>
                <w:sz w:val="24"/>
              </w:rPr>
              <w:t>法》（中华人民共和国主席令第</w:t>
            </w:r>
            <w:r>
              <w:rPr>
                <w:sz w:val="24"/>
              </w:rPr>
              <w:t xml:space="preserve"> 41 号 2015</w:t>
            </w:r>
          </w:p>
          <w:p>
            <w:pPr>
              <w:pStyle w:val="10"/>
              <w:rPr>
                <w:sz w:val="24"/>
              </w:rPr>
            </w:pPr>
            <w:r>
              <w:rPr>
                <w:rFonts w:hint="eastAsia"/>
                <w:sz w:val="24"/>
              </w:rPr>
              <w:t>年</w:t>
            </w:r>
            <w:r>
              <w:rPr>
                <w:sz w:val="24"/>
              </w:rPr>
              <w:t xml:space="preserve"> 12 月 27 日修正）</w:t>
            </w:r>
          </w:p>
          <w:p>
            <w:pPr>
              <w:pStyle w:val="10"/>
              <w:rPr>
                <w:sz w:val="24"/>
              </w:rPr>
            </w:pPr>
            <w:r>
              <w:rPr>
                <w:rFonts w:hint="eastAsia"/>
                <w:sz w:val="24"/>
              </w:rPr>
              <w:t>【部门规章及规范性文件】《国务院关于印</w:t>
            </w:r>
          </w:p>
          <w:p>
            <w:pPr>
              <w:pStyle w:val="10"/>
              <w:rPr>
                <w:sz w:val="24"/>
              </w:rPr>
            </w:pPr>
            <w:r>
              <w:rPr>
                <w:rFonts w:hint="eastAsia"/>
                <w:sz w:val="24"/>
              </w:rPr>
              <w:t>发国家基本公共服务体系“十二五”规划的</w:t>
            </w:r>
          </w:p>
          <w:p>
            <w:pPr>
              <w:pStyle w:val="10"/>
              <w:rPr>
                <w:sz w:val="24"/>
              </w:rPr>
            </w:pPr>
            <w:r>
              <w:rPr>
                <w:rFonts w:hint="eastAsia"/>
                <w:sz w:val="24"/>
              </w:rPr>
              <w:t>通知》（国发﹝</w:t>
            </w:r>
            <w:r>
              <w:rPr>
                <w:sz w:val="24"/>
              </w:rPr>
              <w:t>2012﹞29 号）</w:t>
            </w:r>
          </w:p>
          <w:p>
            <w:pPr>
              <w:pStyle w:val="10"/>
              <w:rPr>
                <w:sz w:val="24"/>
              </w:rPr>
            </w:pPr>
            <w:r>
              <w:rPr>
                <w:rFonts w:hint="eastAsia"/>
                <w:sz w:val="24"/>
              </w:rPr>
              <w:t>【部门规章及规范性文件】《关于开展对农</w:t>
            </w:r>
          </w:p>
          <w:p>
            <w:pPr>
              <w:pStyle w:val="10"/>
              <w:rPr>
                <w:sz w:val="24"/>
              </w:rPr>
            </w:pPr>
            <w:r>
              <w:rPr>
                <w:rFonts w:hint="eastAsia"/>
                <w:sz w:val="24"/>
              </w:rPr>
              <w:t>村部分计划生育家庭实行奖励扶助制度试点</w:t>
            </w:r>
          </w:p>
          <w:p>
            <w:pPr>
              <w:pStyle w:val="10"/>
              <w:rPr>
                <w:sz w:val="24"/>
              </w:rPr>
            </w:pPr>
            <w:r>
              <w:rPr>
                <w:rFonts w:hint="eastAsia"/>
                <w:sz w:val="24"/>
              </w:rPr>
              <w:t>工作意见》（国办发〔</w:t>
            </w:r>
            <w:r>
              <w:rPr>
                <w:sz w:val="24"/>
              </w:rPr>
              <w:t>2004〕21 号）</w:t>
            </w:r>
          </w:p>
          <w:p>
            <w:pPr>
              <w:pStyle w:val="10"/>
              <w:rPr>
                <w:sz w:val="24"/>
              </w:rPr>
            </w:pPr>
            <w:r>
              <w:rPr>
                <w:rFonts w:hint="eastAsia"/>
                <w:sz w:val="24"/>
              </w:rPr>
              <w:t>【部门规章及规范性文件】《关于调整全国</w:t>
            </w:r>
          </w:p>
          <w:p>
            <w:pPr>
              <w:pStyle w:val="10"/>
              <w:rPr>
                <w:sz w:val="24"/>
              </w:rPr>
            </w:pPr>
            <w:r>
              <w:rPr>
                <w:rFonts w:hint="eastAsia"/>
                <w:sz w:val="24"/>
              </w:rPr>
              <w:t>农村部分计划生育家庭奖励扶助和计划生育</w:t>
            </w:r>
          </w:p>
          <w:p>
            <w:pPr>
              <w:pStyle w:val="10"/>
              <w:rPr>
                <w:sz w:val="24"/>
              </w:rPr>
            </w:pPr>
            <w:r>
              <w:rPr>
                <w:rFonts w:hint="eastAsia"/>
                <w:sz w:val="24"/>
              </w:rPr>
              <w:t>家庭特别扶助标准的通知》（财教〔</w:t>
            </w:r>
            <w:r>
              <w:rPr>
                <w:sz w:val="24"/>
              </w:rPr>
              <w:t>2011〕</w:t>
            </w:r>
          </w:p>
          <w:p>
            <w:pPr>
              <w:pStyle w:val="10"/>
              <w:rPr>
                <w:sz w:val="24"/>
              </w:rPr>
            </w:pPr>
            <w:r>
              <w:rPr>
                <w:sz w:val="24"/>
              </w:rPr>
              <w:t>623 号）</w:t>
            </w:r>
          </w:p>
          <w:p>
            <w:pPr>
              <w:pStyle w:val="10"/>
              <w:rPr>
                <w:sz w:val="24"/>
              </w:rPr>
            </w:pPr>
            <w:r>
              <w:rPr>
                <w:rFonts w:hint="eastAsia"/>
                <w:sz w:val="24"/>
              </w:rPr>
              <w:t>【部门规章及规范性文件】《关于印发全国</w:t>
            </w:r>
          </w:p>
          <w:p>
            <w:pPr>
              <w:pStyle w:val="10"/>
              <w:rPr>
                <w:sz w:val="24"/>
              </w:rPr>
            </w:pPr>
            <w:r>
              <w:rPr>
                <w:rFonts w:hint="eastAsia"/>
                <w:sz w:val="24"/>
              </w:rPr>
              <w:t>农村部分计划生育家庭奖励扶助制度管理规</w:t>
            </w:r>
          </w:p>
          <w:p>
            <w:pPr>
              <w:pStyle w:val="10"/>
              <w:rPr>
                <w:sz w:val="24"/>
              </w:rPr>
            </w:pPr>
            <w:r>
              <w:rPr>
                <w:rFonts w:hint="eastAsia"/>
                <w:sz w:val="24"/>
              </w:rPr>
              <w:t>范的通知》（人口厅发〔</w:t>
            </w:r>
            <w:r>
              <w:rPr>
                <w:sz w:val="24"/>
              </w:rPr>
              <w:t>2006〕122 号）</w:t>
            </w:r>
          </w:p>
          <w:p>
            <w:pPr>
              <w:pStyle w:val="10"/>
              <w:rPr>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p>
        </w:tc>
        <w:tc>
          <w:tcPr>
            <w:tcW w:w="1274"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10"/>
              <w:rPr>
                <w:sz w:val="17"/>
              </w:rPr>
            </w:pPr>
          </w:p>
          <w:p>
            <w:pPr>
              <w:pStyle w:val="10"/>
              <w:spacing w:before="1" w:line="254" w:lineRule="auto"/>
              <w:ind w:left="123" w:right="118" w:hanging="3"/>
              <w:jc w:val="center"/>
              <w:rPr>
                <w:sz w:val="24"/>
              </w:rPr>
            </w:pPr>
            <w:r>
              <w:rPr>
                <w:rFonts w:hint="eastAsia"/>
                <w:sz w:val="24"/>
              </w:rPr>
              <w:t>自信息形</w:t>
            </w:r>
          </w:p>
          <w:p>
            <w:pPr>
              <w:pStyle w:val="10"/>
              <w:spacing w:before="1" w:line="254" w:lineRule="auto"/>
              <w:ind w:left="123" w:right="118" w:hanging="3"/>
              <w:jc w:val="center"/>
              <w:rPr>
                <w:sz w:val="24"/>
              </w:rPr>
            </w:pPr>
            <w:r>
              <w:rPr>
                <w:rFonts w:hint="eastAsia"/>
                <w:sz w:val="24"/>
              </w:rPr>
              <w:t>成或者变</w:t>
            </w:r>
          </w:p>
          <w:p>
            <w:pPr>
              <w:pStyle w:val="10"/>
              <w:spacing w:before="1" w:line="254" w:lineRule="auto"/>
              <w:ind w:left="123" w:right="118" w:hanging="3"/>
              <w:jc w:val="center"/>
              <w:rPr>
                <w:sz w:val="24"/>
              </w:rPr>
            </w:pPr>
            <w:r>
              <w:rPr>
                <w:rFonts w:hint="eastAsia"/>
                <w:sz w:val="24"/>
              </w:rPr>
              <w:t>更之日起</w:t>
            </w:r>
          </w:p>
          <w:p>
            <w:pPr>
              <w:pStyle w:val="10"/>
              <w:spacing w:before="1" w:line="254" w:lineRule="auto"/>
              <w:ind w:left="123" w:right="118" w:hanging="3"/>
              <w:jc w:val="center"/>
              <w:rPr>
                <w:sz w:val="24"/>
              </w:rPr>
            </w:pPr>
            <w:r>
              <w:rPr>
                <w:sz w:val="24"/>
              </w:rPr>
              <w:t>20 个工作</w:t>
            </w:r>
          </w:p>
          <w:p>
            <w:pPr>
              <w:pStyle w:val="10"/>
              <w:spacing w:before="1" w:line="254" w:lineRule="auto"/>
              <w:ind w:left="123" w:right="118" w:hanging="3"/>
              <w:jc w:val="center"/>
              <w:rPr>
                <w:sz w:val="24"/>
              </w:rPr>
            </w:pPr>
            <w:r>
              <w:rPr>
                <w:rFonts w:hint="eastAsia"/>
                <w:sz w:val="24"/>
              </w:rPr>
              <w:t>日内予以</w:t>
            </w:r>
          </w:p>
          <w:p>
            <w:pPr>
              <w:pStyle w:val="10"/>
              <w:spacing w:before="1" w:line="254" w:lineRule="auto"/>
              <w:ind w:left="123" w:right="118" w:hanging="3"/>
              <w:jc w:val="center"/>
              <w:rPr>
                <w:sz w:val="24"/>
              </w:rPr>
            </w:pPr>
            <w:r>
              <w:rPr>
                <w:rFonts w:hint="eastAsia"/>
                <w:sz w:val="24"/>
              </w:rPr>
              <w:t>公开</w:t>
            </w:r>
          </w:p>
        </w:tc>
        <w:tc>
          <w:tcPr>
            <w:tcW w:w="1275"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4"/>
              <w:rPr>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sz w:val="24"/>
              </w:rPr>
            </w:pPr>
          </w:p>
          <w:p>
            <w:pPr>
              <w:pStyle w:val="10"/>
              <w:rPr>
                <w:sz w:val="24"/>
              </w:rPr>
            </w:pPr>
          </w:p>
          <w:p>
            <w:pPr>
              <w:pStyle w:val="10"/>
              <w:rPr>
                <w:sz w:val="24"/>
              </w:rPr>
            </w:pPr>
          </w:p>
          <w:p>
            <w:pPr>
              <w:pStyle w:val="10"/>
              <w:rPr>
                <w:sz w:val="24"/>
              </w:rPr>
            </w:pPr>
          </w:p>
          <w:p>
            <w:pPr>
              <w:pStyle w:val="10"/>
              <w:spacing w:before="1"/>
              <w:rPr>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sz w:val="24"/>
                <w:u w:val="single"/>
              </w:rPr>
              <w:t xml:space="preserve"> </w:t>
            </w:r>
            <w:r>
              <w:rPr>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rFonts w:hint="eastAsia"/>
                <w:sz w:val="24"/>
              </w:rPr>
              <w:t>申请材料</w:t>
            </w:r>
          </w:p>
          <w:p>
            <w:pPr>
              <w:pStyle w:val="10"/>
              <w:spacing w:line="307" w:lineRule="exact"/>
              <w:ind w:left="102"/>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pPr>
    </w:p>
    <w:p>
      <w:pPr>
        <w:rPr>
          <w:sz w:val="24"/>
        </w:rPr>
      </w:pPr>
    </w:p>
    <w:p>
      <w:pPr>
        <w:rPr>
          <w:sz w:val="24"/>
        </w:rPr>
      </w:pPr>
    </w:p>
    <w:p>
      <w:pPr>
        <w:rPr>
          <w:sz w:val="24"/>
        </w:rPr>
        <w:sectPr>
          <w:footerReference r:id="rId3" w:type="default"/>
          <w:type w:val="continuous"/>
          <w:pgSz w:w="23820" w:h="16840" w:orient="landscape"/>
          <w:pgMar w:top="1580" w:right="800" w:bottom="1320" w:left="800" w:header="720" w:footer="1121" w:gutter="0"/>
          <w:pgNumType w:start="1"/>
          <w:cols w:space="720" w:num="1"/>
        </w:sect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rFonts w:hint="eastAsia"/>
                <w:sz w:val="24"/>
              </w:rPr>
              <w:t>03</w:t>
            </w:r>
            <w:r>
              <w:rPr>
                <w:sz w:val="24"/>
              </w:rPr>
              <w:t>0</w:t>
            </w:r>
            <w:r>
              <w:rPr>
                <w:rFonts w:hint="eastAsia"/>
                <w:sz w:val="24"/>
                <w:lang w:val="en-US"/>
              </w:rPr>
              <w:t>2</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3</w:t>
            </w:r>
            <w:r>
              <w:rPr>
                <w:sz w:val="24"/>
              </w:rPr>
              <w:t xml:space="preserve"> 行政</w:t>
            </w:r>
            <w:r>
              <w:rPr>
                <w:rFonts w:hint="eastAsia"/>
                <w:sz w:val="24"/>
              </w:rPr>
              <w:t>确认</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tbl>
            <w:tblPr>
              <w:tblStyle w:val="6"/>
              <w:tblW w:w="1440" w:type="dxa"/>
              <w:tblInd w:w="0" w:type="dxa"/>
              <w:tblLayout w:type="fixed"/>
              <w:tblCellMar>
                <w:top w:w="0" w:type="dxa"/>
                <w:left w:w="108" w:type="dxa"/>
                <w:bottom w:w="0" w:type="dxa"/>
                <w:right w:w="108" w:type="dxa"/>
              </w:tblCellMar>
            </w:tblPr>
            <w:tblGrid>
              <w:gridCol w:w="1440"/>
            </w:tblGrid>
            <w:tr>
              <w:tblPrEx>
                <w:tblCellMar>
                  <w:top w:w="0" w:type="dxa"/>
                  <w:left w:w="108" w:type="dxa"/>
                  <w:bottom w:w="0" w:type="dxa"/>
                  <w:right w:w="108" w:type="dxa"/>
                </w:tblCellMar>
              </w:tblPrEx>
              <w:trPr>
                <w:trHeight w:val="283" w:hRule="atLeast"/>
              </w:trPr>
              <w:tc>
                <w:tcPr>
                  <w:tcW w:w="1440" w:type="dxa"/>
                  <w:tcBorders>
                    <w:tl2br w:val="nil"/>
                    <w:tr2bl w:val="nil"/>
                  </w:tcBorders>
                </w:tcPr>
                <w:p>
                  <w:pPr>
                    <w:rPr>
                      <w:color w:val="000000"/>
                      <w:sz w:val="23"/>
                    </w:rPr>
                  </w:pPr>
                </w:p>
              </w:tc>
            </w:tr>
          </w:tbl>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sz w:val="24"/>
              </w:rPr>
              <w:t>计划生育家庭</w:t>
            </w:r>
          </w:p>
          <w:p>
            <w:pPr>
              <w:pStyle w:val="10"/>
              <w:spacing w:before="201" w:line="254" w:lineRule="auto"/>
              <w:ind w:left="124" w:right="122"/>
              <w:jc w:val="center"/>
              <w:rPr>
                <w:sz w:val="24"/>
              </w:rPr>
            </w:pPr>
            <w:r>
              <w:rPr>
                <w:rFonts w:hint="eastAsia"/>
                <w:sz w:val="24"/>
              </w:rPr>
              <w:t>特别扶助</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color w:val="000000"/>
                <w:sz w:val="23"/>
              </w:rPr>
            </w:pPr>
            <w:r>
              <w:rPr>
                <w:rFonts w:hint="eastAsia"/>
                <w:color w:val="000000"/>
                <w:sz w:val="23"/>
              </w:rPr>
              <w:t>【法律】《中华人民共和国人口与计划生育</w:t>
            </w:r>
          </w:p>
          <w:p>
            <w:pPr>
              <w:pStyle w:val="10"/>
              <w:spacing w:before="1" w:line="254" w:lineRule="auto"/>
              <w:ind w:left="111" w:right="284"/>
              <w:jc w:val="both"/>
              <w:rPr>
                <w:color w:val="000000"/>
                <w:sz w:val="23"/>
              </w:rPr>
            </w:pPr>
            <w:r>
              <w:rPr>
                <w:rFonts w:hint="eastAsia"/>
                <w:color w:val="000000"/>
                <w:sz w:val="23"/>
              </w:rPr>
              <w:t>法》（中华人民共和国主席令第</w:t>
            </w:r>
            <w:r>
              <w:rPr>
                <w:color w:val="000000"/>
                <w:sz w:val="23"/>
              </w:rPr>
              <w:t xml:space="preserve"> 41 号 2015</w:t>
            </w:r>
          </w:p>
          <w:p>
            <w:pPr>
              <w:pStyle w:val="10"/>
              <w:spacing w:before="1" w:line="254" w:lineRule="auto"/>
              <w:ind w:left="111" w:right="284"/>
              <w:jc w:val="both"/>
              <w:rPr>
                <w:color w:val="000000"/>
                <w:sz w:val="23"/>
              </w:rPr>
            </w:pPr>
            <w:r>
              <w:rPr>
                <w:rFonts w:hint="eastAsia"/>
                <w:color w:val="000000"/>
                <w:sz w:val="23"/>
              </w:rPr>
              <w:t>年</w:t>
            </w:r>
            <w:r>
              <w:rPr>
                <w:color w:val="000000"/>
                <w:sz w:val="23"/>
              </w:rPr>
              <w:t xml:space="preserve"> 12 月 27 日修正）</w:t>
            </w:r>
          </w:p>
          <w:p>
            <w:pPr>
              <w:pStyle w:val="10"/>
              <w:spacing w:before="1" w:line="254" w:lineRule="auto"/>
              <w:ind w:left="111" w:right="284"/>
              <w:jc w:val="both"/>
              <w:rPr>
                <w:color w:val="000000"/>
                <w:sz w:val="23"/>
              </w:rPr>
            </w:pPr>
            <w:r>
              <w:rPr>
                <w:rFonts w:hint="eastAsia"/>
                <w:color w:val="000000"/>
                <w:sz w:val="23"/>
              </w:rPr>
              <w:t>【部门规章及规范性文件】《关于印发全国</w:t>
            </w:r>
          </w:p>
          <w:p>
            <w:pPr>
              <w:pStyle w:val="10"/>
              <w:spacing w:before="1" w:line="254" w:lineRule="auto"/>
              <w:ind w:left="111" w:right="284"/>
              <w:jc w:val="both"/>
              <w:rPr>
                <w:color w:val="000000"/>
                <w:sz w:val="23"/>
              </w:rPr>
            </w:pPr>
            <w:r>
              <w:rPr>
                <w:rFonts w:hint="eastAsia"/>
                <w:color w:val="000000"/>
                <w:sz w:val="23"/>
              </w:rPr>
              <w:t>独生子女伤残死亡家庭特别扶助制度试点方</w:t>
            </w:r>
          </w:p>
          <w:p>
            <w:pPr>
              <w:pStyle w:val="10"/>
              <w:spacing w:before="1" w:line="254" w:lineRule="auto"/>
              <w:ind w:left="111" w:right="284"/>
              <w:jc w:val="both"/>
              <w:rPr>
                <w:sz w:val="24"/>
              </w:rPr>
            </w:pPr>
            <w:r>
              <w:rPr>
                <w:rFonts w:hint="eastAsia"/>
                <w:color w:val="000000"/>
                <w:sz w:val="23"/>
              </w:rPr>
              <w:t>案的通知》（国人口发〔</w:t>
            </w:r>
            <w:r>
              <w:rPr>
                <w:color w:val="000000"/>
                <w:sz w:val="23"/>
              </w:rPr>
              <w:t>2007〕78 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p>
          <w:tbl>
            <w:tblPr>
              <w:tblStyle w:val="6"/>
              <w:tblW w:w="4300" w:type="dxa"/>
              <w:tblInd w:w="0" w:type="dxa"/>
              <w:tblLayout w:type="fixed"/>
              <w:tblCellMar>
                <w:top w:w="0" w:type="dxa"/>
                <w:left w:w="108" w:type="dxa"/>
                <w:bottom w:w="0" w:type="dxa"/>
                <w:right w:w="108" w:type="dxa"/>
              </w:tblCellMar>
            </w:tblPr>
            <w:tblGrid>
              <w:gridCol w:w="4300"/>
            </w:tblGrid>
            <w:tr>
              <w:tblPrEx>
                <w:tblCellMar>
                  <w:top w:w="0" w:type="dxa"/>
                  <w:left w:w="108" w:type="dxa"/>
                  <w:bottom w:w="0" w:type="dxa"/>
                  <w:right w:w="108" w:type="dxa"/>
                </w:tblCellMar>
              </w:tblPrEx>
              <w:trPr>
                <w:trHeight w:val="1424" w:hRule="atLeast"/>
              </w:trPr>
              <w:tc>
                <w:tcPr>
                  <w:tcW w:w="4300" w:type="dxa"/>
                  <w:tcBorders>
                    <w:tl2br w:val="nil"/>
                    <w:tr2bl w:val="nil"/>
                  </w:tcBorders>
                </w:tcPr>
                <w:p>
                  <w:pPr>
                    <w:pStyle w:val="10"/>
                    <w:spacing w:line="307" w:lineRule="exact"/>
                    <w:ind w:left="102"/>
                    <w:rPr>
                      <w:sz w:val="24"/>
                    </w:rPr>
                  </w:pPr>
                  <w:r>
                    <w:rPr>
                      <w:rFonts w:hint="eastAsia"/>
                      <w:sz w:val="24"/>
                    </w:rPr>
                    <w:t>申请材料</w:t>
                  </w:r>
                </w:p>
                <w:p>
                  <w:pPr>
                    <w:rPr>
                      <w:color w:val="000000"/>
                      <w:sz w:val="23"/>
                    </w:rPr>
                  </w:pPr>
                  <w:r>
                    <w:rPr>
                      <w:rFonts w:hint="eastAsia"/>
                      <w:sz w:val="24"/>
                    </w:rPr>
                    <w:t>受理范围及条件</w:t>
                  </w:r>
                </w:p>
              </w:tc>
            </w:tr>
          </w:tbl>
          <w:p>
            <w:pPr>
              <w:pStyle w:val="10"/>
              <w:spacing w:line="307" w:lineRule="exact"/>
              <w:ind w:left="102"/>
              <w:rPr>
                <w:sz w:val="24"/>
              </w:rPr>
            </w:pP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sz w:val="24"/>
              </w:rPr>
              <w:t>0303</w:t>
            </w:r>
          </w:p>
          <w:p>
            <w:pPr>
              <w:pStyle w:val="10"/>
              <w:rPr>
                <w:b/>
                <w:sz w:val="24"/>
              </w:rPr>
            </w:pPr>
          </w:p>
          <w:p>
            <w:pPr>
              <w:pStyle w:val="10"/>
              <w:rPr>
                <w:b/>
                <w:sz w:val="24"/>
              </w:rPr>
            </w:pPr>
          </w:p>
          <w:p>
            <w:pPr>
              <w:pStyle w:val="10"/>
              <w:spacing w:before="12"/>
              <w:rPr>
                <w:b/>
                <w:sz w:val="19"/>
              </w:rPr>
            </w:pPr>
          </w:p>
          <w:p>
            <w:pPr>
              <w:pStyle w:val="10"/>
              <w:ind w:left="110" w:right="-29"/>
              <w:rPr>
                <w:sz w:val="24"/>
              </w:rPr>
            </w:pP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p>
          <w:p>
            <w:pPr>
              <w:pStyle w:val="10"/>
              <w:ind w:left="110" w:leftChars="50"/>
              <w:rPr>
                <w:b/>
                <w:sz w:val="24"/>
              </w:rPr>
            </w:pPr>
            <w:r>
              <w:rPr>
                <w:sz w:val="24"/>
              </w:rPr>
              <w:t>0</w:t>
            </w:r>
            <w:r>
              <w:rPr>
                <w:rFonts w:hint="eastAsia"/>
                <w:sz w:val="24"/>
                <w:lang w:val="en-US"/>
              </w:rPr>
              <w:t>3</w:t>
            </w:r>
            <w:r>
              <w:rPr>
                <w:sz w:val="24"/>
              </w:rPr>
              <w:t xml:space="preserve"> 行政</w:t>
            </w:r>
            <w:r>
              <w:rPr>
                <w:rFonts w:hint="eastAsia"/>
                <w:sz w:val="24"/>
              </w:rPr>
              <w:t>确认</w:t>
            </w:r>
            <w:r>
              <w:rPr>
                <w:sz w:val="24"/>
              </w:rPr>
              <w:t>类事项</w:t>
            </w:r>
          </w:p>
          <w:p>
            <w:pPr>
              <w:pStyle w:val="10"/>
              <w:spacing w:before="12"/>
              <w:rPr>
                <w:b/>
                <w:sz w:val="26"/>
              </w:rPr>
            </w:pPr>
          </w:p>
          <w:p>
            <w:pPr>
              <w:pStyle w:val="10"/>
              <w:spacing w:line="254" w:lineRule="auto"/>
              <w:ind w:left="167" w:right="34"/>
              <w:rPr>
                <w:sz w:val="24"/>
              </w:rPr>
            </w:pP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szCs w:val="24"/>
              </w:rPr>
            </w:pPr>
            <w:r>
              <w:rPr>
                <w:rFonts w:hint="eastAsia"/>
                <w:color w:val="000000"/>
                <w:sz w:val="24"/>
                <w:szCs w:val="24"/>
              </w:rPr>
              <w:t>承担预防接种工作的医疗卫生机构（接种单位）的确认</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p>
          <w:p>
            <w:pPr>
              <w:pStyle w:val="10"/>
              <w:spacing w:before="1" w:line="254" w:lineRule="auto"/>
              <w:ind w:left="111" w:right="284"/>
              <w:jc w:val="both"/>
              <w:rPr>
                <w:color w:val="000000"/>
                <w:sz w:val="23"/>
              </w:rPr>
            </w:pPr>
            <w:r>
              <w:rPr>
                <w:rFonts w:hint="eastAsia"/>
                <w:color w:val="000000"/>
                <w:sz w:val="23"/>
              </w:rPr>
              <w:t>【行政法规】《疫苗流通和预防接种管理条</w:t>
            </w:r>
          </w:p>
          <w:p>
            <w:pPr>
              <w:pStyle w:val="10"/>
              <w:spacing w:before="1" w:line="254" w:lineRule="auto"/>
              <w:ind w:left="111" w:right="284"/>
              <w:jc w:val="both"/>
              <w:rPr>
                <w:color w:val="000000"/>
                <w:sz w:val="23"/>
              </w:rPr>
            </w:pPr>
            <w:r>
              <w:rPr>
                <w:rFonts w:hint="eastAsia"/>
                <w:color w:val="000000"/>
                <w:sz w:val="23"/>
              </w:rPr>
              <w:t>例》（中华人民共和国国务院令第</w:t>
            </w:r>
            <w:r>
              <w:rPr>
                <w:color w:val="000000"/>
                <w:sz w:val="23"/>
              </w:rPr>
              <w:t xml:space="preserve"> 434 号</w:t>
            </w:r>
          </w:p>
          <w:p>
            <w:pPr>
              <w:pStyle w:val="10"/>
              <w:spacing w:before="1" w:line="254" w:lineRule="auto"/>
              <w:ind w:left="111" w:right="284"/>
              <w:jc w:val="both"/>
              <w:rPr>
                <w:color w:val="000000"/>
                <w:sz w:val="23"/>
              </w:rPr>
            </w:pPr>
            <w:r>
              <w:rPr>
                <w:color w:val="000000"/>
                <w:sz w:val="23"/>
              </w:rPr>
              <w:t>2016 年 4 月 23 日《国务院关于修改&lt;疫苗流</w:t>
            </w:r>
          </w:p>
          <w:p>
            <w:pPr>
              <w:pStyle w:val="10"/>
              <w:spacing w:before="1" w:line="254" w:lineRule="auto"/>
              <w:ind w:left="111" w:right="284"/>
              <w:jc w:val="both"/>
              <w:rPr>
                <w:sz w:val="24"/>
              </w:rPr>
            </w:pPr>
            <w:r>
              <w:rPr>
                <w:rFonts w:hint="eastAsia"/>
                <w:color w:val="000000"/>
                <w:sz w:val="23"/>
              </w:rPr>
              <w:t>通和预防接种管理条例</w:t>
            </w:r>
            <w:r>
              <w:rPr>
                <w:color w:val="000000"/>
                <w:sz w:val="23"/>
              </w:rPr>
              <w:t>&gt;的决定》修订）</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rFonts w:hint="eastAsia"/>
                <w:sz w:val="24"/>
              </w:rPr>
              <w:t>自信息形</w:t>
            </w:r>
          </w:p>
          <w:p>
            <w:pPr>
              <w:pStyle w:val="10"/>
              <w:spacing w:before="1" w:line="254" w:lineRule="auto"/>
              <w:ind w:left="123" w:right="118" w:hanging="3"/>
              <w:jc w:val="center"/>
              <w:rPr>
                <w:sz w:val="24"/>
              </w:rPr>
            </w:pPr>
            <w:r>
              <w:rPr>
                <w:rFonts w:hint="eastAsia"/>
                <w:sz w:val="24"/>
              </w:rPr>
              <w:t>成或者变</w:t>
            </w:r>
          </w:p>
          <w:p>
            <w:pPr>
              <w:pStyle w:val="10"/>
              <w:spacing w:before="1" w:line="254" w:lineRule="auto"/>
              <w:ind w:left="123" w:right="118" w:hanging="3"/>
              <w:jc w:val="center"/>
              <w:rPr>
                <w:sz w:val="24"/>
              </w:rPr>
            </w:pPr>
            <w:r>
              <w:rPr>
                <w:rFonts w:hint="eastAsia"/>
                <w:sz w:val="24"/>
              </w:rPr>
              <w:t>更之日起</w:t>
            </w:r>
          </w:p>
          <w:p>
            <w:pPr>
              <w:pStyle w:val="10"/>
              <w:spacing w:before="1" w:line="254" w:lineRule="auto"/>
              <w:ind w:left="123" w:right="118" w:hanging="3"/>
              <w:jc w:val="center"/>
              <w:rPr>
                <w:sz w:val="24"/>
              </w:rPr>
            </w:pPr>
            <w:r>
              <w:rPr>
                <w:sz w:val="24"/>
              </w:rPr>
              <w:t>20 个工作</w:t>
            </w:r>
          </w:p>
          <w:p>
            <w:pPr>
              <w:pStyle w:val="10"/>
              <w:spacing w:before="1" w:line="254" w:lineRule="auto"/>
              <w:ind w:left="123" w:right="118" w:hanging="3"/>
              <w:jc w:val="center"/>
              <w:rPr>
                <w:sz w:val="24"/>
              </w:rPr>
            </w:pPr>
            <w:r>
              <w:rPr>
                <w:rFonts w:hint="eastAsia"/>
                <w:sz w:val="24"/>
              </w:rPr>
              <w:t>日内予以</w:t>
            </w:r>
          </w:p>
          <w:p>
            <w:pPr>
              <w:pStyle w:val="10"/>
              <w:spacing w:before="1" w:line="254" w:lineRule="auto"/>
              <w:ind w:left="123" w:right="118" w:hanging="3"/>
              <w:jc w:val="center"/>
              <w:rPr>
                <w:sz w:val="24"/>
              </w:rPr>
            </w:pPr>
            <w:r>
              <w:rPr>
                <w:rFonts w:hint="eastAsia"/>
                <w:sz w:val="24"/>
              </w:rPr>
              <w:t>公开</w:t>
            </w:r>
          </w:p>
        </w:tc>
        <w:tc>
          <w:tcPr>
            <w:tcW w:w="1275" w:type="dxa"/>
            <w:vMerge w:val="restart"/>
          </w:tcPr>
          <w:p>
            <w:pPr>
              <w:pStyle w:val="10"/>
              <w:rPr>
                <w:b/>
                <w:sz w:val="24"/>
              </w:rPr>
            </w:pPr>
          </w:p>
          <w:p>
            <w:pPr>
              <w:pStyle w:val="10"/>
              <w:rPr>
                <w:b/>
                <w:sz w:val="24"/>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申请材料</w:t>
            </w:r>
          </w:p>
          <w:p>
            <w:pPr>
              <w:pStyle w:val="10"/>
              <w:spacing w:line="307" w:lineRule="exact"/>
              <w:ind w:left="102"/>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line="254" w:lineRule="auto"/>
              <w:ind w:left="102" w:right="195"/>
              <w:rPr>
                <w:sz w:val="24"/>
              </w:rPr>
            </w:pPr>
            <w:r>
              <w:rPr>
                <w:rFonts w:hint="eastAsia"/>
                <w:sz w:val="24"/>
              </w:rPr>
              <w:t>咨询投诉渠道</w:t>
            </w: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sz w:val="24"/>
              </w:rPr>
              <w:t>0304</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ind w:left="110" w:leftChars="50"/>
              <w:rPr>
                <w:b/>
                <w:sz w:val="24"/>
              </w:rPr>
            </w:pPr>
            <w:r>
              <w:rPr>
                <w:sz w:val="24"/>
              </w:rPr>
              <w:t>0</w:t>
            </w:r>
            <w:r>
              <w:rPr>
                <w:rFonts w:hint="eastAsia"/>
                <w:sz w:val="24"/>
                <w:lang w:val="en-US"/>
              </w:rPr>
              <w:t>3</w:t>
            </w:r>
            <w:r>
              <w:rPr>
                <w:sz w:val="24"/>
              </w:rPr>
              <w:t xml:space="preserve"> 行政</w:t>
            </w:r>
            <w:r>
              <w:rPr>
                <w:rFonts w:hint="eastAsia"/>
                <w:sz w:val="24"/>
              </w:rPr>
              <w:t>确认</w:t>
            </w:r>
            <w:r>
              <w:rPr>
                <w:sz w:val="24"/>
              </w:rPr>
              <w:t>类事项</w:t>
            </w: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szCs w:val="24"/>
              </w:rPr>
            </w:pPr>
            <w:r>
              <w:rPr>
                <w:rFonts w:hint="eastAsia"/>
                <w:color w:val="000000"/>
                <w:sz w:val="24"/>
                <w:szCs w:val="24"/>
              </w:rPr>
              <w:t>计划生育手术并发症鉴定</w:t>
            </w: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r>
              <w:rPr>
                <w:rFonts w:hint="eastAsia"/>
                <w:b/>
                <w:sz w:val="24"/>
              </w:rPr>
              <w:t>【行政法规】《计划生育技术服务管理条例》（国务院令第</w:t>
            </w:r>
            <w:r>
              <w:rPr>
                <w:b/>
                <w:sz w:val="24"/>
              </w:rPr>
              <w:t>309号）</w:t>
            </w:r>
          </w:p>
          <w:p>
            <w:pPr>
              <w:pStyle w:val="10"/>
              <w:rPr>
                <w:b/>
                <w:sz w:val="24"/>
              </w:rPr>
            </w:pPr>
          </w:p>
          <w:p>
            <w:pPr>
              <w:pStyle w:val="10"/>
              <w:spacing w:before="1" w:line="254" w:lineRule="auto"/>
              <w:ind w:left="111" w:right="284"/>
              <w:jc w:val="both"/>
              <w:rPr>
                <w:sz w:val="24"/>
              </w:rPr>
            </w:pPr>
            <w:r>
              <w:rPr>
                <w:rFonts w:hint="eastAsia"/>
                <w:sz w:val="24"/>
              </w:rPr>
              <w:t>【规范性文件】《关于印发</w:t>
            </w:r>
            <w:r>
              <w:rPr>
                <w:sz w:val="24"/>
              </w:rPr>
              <w:t>&lt;计划生育手术并发症鉴定管理办法（试行）&gt;的通知》（国家人口计生委人口科技〔2011〕67号）</w:t>
            </w:r>
          </w:p>
          <w:p>
            <w:pPr>
              <w:pStyle w:val="10"/>
              <w:spacing w:before="1" w:line="254" w:lineRule="auto"/>
              <w:ind w:left="111" w:right="284"/>
              <w:jc w:val="both"/>
              <w:rPr>
                <w:sz w:val="24"/>
              </w:rPr>
            </w:pPr>
            <w:r>
              <w:rPr>
                <w:rFonts w:hint="eastAsia"/>
                <w:color w:val="000000"/>
                <w:sz w:val="23"/>
              </w:rPr>
              <w:t xml:space="preserve">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line="307" w:lineRule="exact"/>
              <w:ind w:left="102"/>
              <w:rPr>
                <w:sz w:val="24"/>
              </w:rPr>
            </w:pPr>
            <w:r>
              <w:rPr>
                <w:rFonts w:hint="eastAsia"/>
                <w:sz w:val="24"/>
              </w:rPr>
              <w:t>申请材料</w:t>
            </w:r>
          </w:p>
          <w:p>
            <w:pPr>
              <w:pStyle w:val="10"/>
              <w:spacing w:line="307" w:lineRule="exact"/>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sz w:val="24"/>
              </w:rPr>
              <w:t>0305</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ind w:left="110" w:leftChars="50"/>
              <w:rPr>
                <w:b/>
                <w:sz w:val="24"/>
              </w:rPr>
            </w:pPr>
            <w:r>
              <w:rPr>
                <w:sz w:val="24"/>
              </w:rPr>
              <w:t>0</w:t>
            </w:r>
            <w:r>
              <w:rPr>
                <w:rFonts w:hint="eastAsia"/>
                <w:sz w:val="24"/>
                <w:lang w:val="en-US"/>
              </w:rPr>
              <w:t>3</w:t>
            </w:r>
            <w:r>
              <w:rPr>
                <w:sz w:val="24"/>
              </w:rPr>
              <w:t xml:space="preserve"> 行政</w:t>
            </w:r>
            <w:r>
              <w:rPr>
                <w:rFonts w:hint="eastAsia"/>
                <w:sz w:val="24"/>
              </w:rPr>
              <w:t>确认</w:t>
            </w:r>
            <w:r>
              <w:rPr>
                <w:sz w:val="24"/>
              </w:rPr>
              <w:t>类事项</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r>
              <w:rPr>
                <w:rFonts w:hint="eastAsia"/>
                <w:color w:val="000000"/>
                <w:sz w:val="23"/>
                <w:szCs w:val="23"/>
              </w:rPr>
              <w:t>对婚前医学检查、遗传病诊断和产前诊断结果有异议的医学技术鉴定</w:t>
            </w:r>
          </w:p>
          <w:p>
            <w:pPr>
              <w:pStyle w:val="10"/>
              <w:rPr>
                <w:b/>
                <w:sz w:val="24"/>
              </w:rPr>
            </w:pPr>
          </w:p>
          <w:p>
            <w:pPr>
              <w:pStyle w:val="10"/>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spacing w:before="1" w:line="254" w:lineRule="auto"/>
              <w:ind w:left="111" w:right="284"/>
              <w:jc w:val="both"/>
              <w:rPr>
                <w:color w:val="000000"/>
                <w:sz w:val="23"/>
              </w:rPr>
            </w:pPr>
            <w:r>
              <w:rPr>
                <w:rFonts w:hint="eastAsia"/>
                <w:color w:val="000000"/>
                <w:sz w:val="23"/>
              </w:rPr>
              <w:t xml:space="preserve"> 【法律】《中华人民共和国母婴保健法》</w:t>
            </w:r>
          </w:p>
          <w:p>
            <w:pPr>
              <w:pStyle w:val="10"/>
              <w:spacing w:before="1" w:line="254" w:lineRule="auto"/>
              <w:ind w:left="111" w:right="284"/>
              <w:jc w:val="both"/>
              <w:rPr>
                <w:sz w:val="24"/>
              </w:rPr>
            </w:pPr>
            <w:r>
              <w:rPr>
                <w:rFonts w:hint="eastAsia"/>
                <w:sz w:val="24"/>
              </w:rPr>
              <w:t>【行政法规】《中华人民共和国母婴保健法实施办法》（国务院令第</w:t>
            </w:r>
            <w:r>
              <w:rPr>
                <w:sz w:val="24"/>
              </w:rPr>
              <w:t>308号）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line="307" w:lineRule="exact"/>
              <w:ind w:left="102"/>
              <w:rPr>
                <w:sz w:val="24"/>
              </w:rPr>
            </w:pPr>
            <w:r>
              <w:rPr>
                <w:rFonts w:hint="eastAsia"/>
                <w:sz w:val="24"/>
              </w:rPr>
              <w:t>申请材料</w:t>
            </w:r>
          </w:p>
          <w:p>
            <w:pPr>
              <w:pStyle w:val="10"/>
              <w:spacing w:line="307" w:lineRule="exact"/>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sz w:val="24"/>
              </w:rPr>
              <w:t>0306</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ind w:left="110" w:leftChars="50"/>
              <w:rPr>
                <w:b/>
                <w:sz w:val="24"/>
              </w:rPr>
            </w:pPr>
            <w:r>
              <w:rPr>
                <w:sz w:val="24"/>
              </w:rPr>
              <w:t>0</w:t>
            </w:r>
            <w:r>
              <w:rPr>
                <w:rFonts w:hint="eastAsia"/>
                <w:sz w:val="24"/>
                <w:lang w:val="en-US"/>
              </w:rPr>
              <w:t>3</w:t>
            </w:r>
            <w:r>
              <w:rPr>
                <w:sz w:val="24"/>
              </w:rPr>
              <w:t xml:space="preserve"> 行政</w:t>
            </w:r>
            <w:r>
              <w:rPr>
                <w:rFonts w:hint="eastAsia"/>
                <w:sz w:val="24"/>
              </w:rPr>
              <w:t>确认</w:t>
            </w:r>
            <w:r>
              <w:rPr>
                <w:sz w:val="24"/>
              </w:rPr>
              <w:t>类事项</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color w:val="000000"/>
                <w:sz w:val="23"/>
                <w:szCs w:val="23"/>
              </w:rPr>
              <w:t>再生育涉及病残儿医学鉴定</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rFonts w:hint="eastAsia"/>
                <w:color w:val="000000"/>
                <w:sz w:val="23"/>
              </w:rPr>
              <w:t xml:space="preserve"> 【行政法规】《计划生育技术服务管理条例》（国务院令第</w:t>
            </w:r>
            <w:r>
              <w:rPr>
                <w:color w:val="000000"/>
                <w:sz w:val="23"/>
              </w:rPr>
              <w:t>309号）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line="307" w:lineRule="exact"/>
              <w:ind w:left="102"/>
              <w:rPr>
                <w:sz w:val="24"/>
              </w:rPr>
            </w:pPr>
            <w:r>
              <w:rPr>
                <w:rFonts w:hint="eastAsia"/>
                <w:sz w:val="24"/>
              </w:rPr>
              <w:t>申请材料</w:t>
            </w:r>
          </w:p>
          <w:p>
            <w:pPr>
              <w:pStyle w:val="10"/>
              <w:spacing w:line="307" w:lineRule="exact"/>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sz w:val="24"/>
              </w:rPr>
              <w:t>0307</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ind w:left="110" w:leftChars="50"/>
              <w:rPr>
                <w:b/>
                <w:sz w:val="24"/>
              </w:rPr>
            </w:pPr>
            <w:r>
              <w:rPr>
                <w:sz w:val="24"/>
              </w:rPr>
              <w:t>0</w:t>
            </w:r>
            <w:r>
              <w:rPr>
                <w:rFonts w:hint="eastAsia"/>
                <w:sz w:val="24"/>
                <w:lang w:val="en-US"/>
              </w:rPr>
              <w:t>3</w:t>
            </w:r>
            <w:r>
              <w:rPr>
                <w:sz w:val="24"/>
              </w:rPr>
              <w:t xml:space="preserve"> 行政</w:t>
            </w:r>
            <w:r>
              <w:rPr>
                <w:rFonts w:hint="eastAsia"/>
                <w:sz w:val="24"/>
              </w:rPr>
              <w:t>确认</w:t>
            </w:r>
            <w:r>
              <w:rPr>
                <w:sz w:val="24"/>
              </w:rPr>
              <w:t>类事项</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color w:val="000000"/>
                <w:sz w:val="23"/>
                <w:szCs w:val="23"/>
              </w:rPr>
              <w:t>中医医疗广告发布认定</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rFonts w:hint="eastAsia"/>
                <w:color w:val="000000"/>
                <w:sz w:val="23"/>
              </w:rPr>
              <w:t xml:space="preserve"> 《中华人民共和国中医药法》</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line="307" w:lineRule="exact"/>
              <w:ind w:left="102"/>
              <w:rPr>
                <w:sz w:val="24"/>
              </w:rPr>
            </w:pPr>
            <w:r>
              <w:rPr>
                <w:rFonts w:hint="eastAsia"/>
                <w:sz w:val="24"/>
              </w:rPr>
              <w:t>申请材料</w:t>
            </w:r>
          </w:p>
          <w:p>
            <w:pPr>
              <w:pStyle w:val="10"/>
              <w:spacing w:line="307" w:lineRule="exact"/>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sz w:val="24"/>
              </w:rPr>
              <w:t>0308</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ind w:left="110" w:leftChars="50"/>
              <w:rPr>
                <w:b/>
                <w:sz w:val="24"/>
              </w:rPr>
            </w:pPr>
            <w:r>
              <w:rPr>
                <w:sz w:val="24"/>
              </w:rPr>
              <w:t>0</w:t>
            </w:r>
            <w:r>
              <w:rPr>
                <w:rFonts w:hint="eastAsia"/>
                <w:sz w:val="24"/>
                <w:lang w:val="en-US"/>
              </w:rPr>
              <w:t>3</w:t>
            </w:r>
            <w:r>
              <w:rPr>
                <w:sz w:val="24"/>
              </w:rPr>
              <w:t xml:space="preserve"> 行政</w:t>
            </w:r>
            <w:r>
              <w:rPr>
                <w:rFonts w:hint="eastAsia"/>
                <w:sz w:val="24"/>
              </w:rPr>
              <w:t>确认</w:t>
            </w:r>
            <w:r>
              <w:rPr>
                <w:sz w:val="24"/>
              </w:rPr>
              <w:t>类事项</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r>
              <w:rPr>
                <w:rFonts w:hint="eastAsia"/>
                <w:color w:val="000000"/>
                <w:sz w:val="23"/>
                <w:szCs w:val="23"/>
              </w:rPr>
              <w:t>病残儿医学鉴定（初审）</w:t>
            </w:r>
          </w:p>
          <w:p>
            <w:pPr>
              <w:pStyle w:val="10"/>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sz w:val="24"/>
              </w:rPr>
            </w:pPr>
            <w:r>
              <w:rPr>
                <w:rFonts w:hint="eastAsia"/>
                <w:sz w:val="24"/>
              </w:rPr>
              <w:t>《计划生育技术服务管理条例》</w:t>
            </w:r>
            <w:r>
              <w:rPr>
                <w:sz w:val="24"/>
              </w:rPr>
              <w:t>(2001年国务院令第309号2004年12月10日修订)</w:t>
            </w:r>
          </w:p>
          <w:p>
            <w:pPr>
              <w:pStyle w:val="10"/>
              <w:spacing w:before="1" w:line="254" w:lineRule="auto"/>
              <w:ind w:left="111" w:right="284"/>
              <w:jc w:val="both"/>
              <w:rPr>
                <w:sz w:val="24"/>
              </w:rPr>
            </w:pPr>
          </w:p>
          <w:p>
            <w:pPr>
              <w:pStyle w:val="10"/>
              <w:spacing w:before="1" w:line="254" w:lineRule="auto"/>
              <w:ind w:left="111" w:right="284"/>
              <w:jc w:val="both"/>
              <w:rPr>
                <w:sz w:val="24"/>
              </w:rPr>
            </w:pPr>
            <w:r>
              <w:rPr>
                <w:rFonts w:hint="eastAsia"/>
                <w:color w:val="000000"/>
                <w:sz w:val="23"/>
              </w:rPr>
              <w:t xml:space="preserve"> 《病残儿医学鉴定管理办法》</w:t>
            </w:r>
            <w:r>
              <w:rPr>
                <w:color w:val="000000"/>
                <w:sz w:val="23"/>
              </w:rPr>
              <w:t>(国家计划生育委员会[2002]7号)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line="307" w:lineRule="exact"/>
              <w:ind w:left="102"/>
              <w:rPr>
                <w:sz w:val="24"/>
              </w:rPr>
            </w:pPr>
            <w:r>
              <w:rPr>
                <w:rFonts w:hint="eastAsia"/>
                <w:sz w:val="24"/>
              </w:rPr>
              <w:t>申请材料</w:t>
            </w:r>
          </w:p>
          <w:p>
            <w:pPr>
              <w:pStyle w:val="10"/>
              <w:spacing w:line="307" w:lineRule="exact"/>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sz w:val="24"/>
              </w:rPr>
              <w:t>0309</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ind w:left="110" w:leftChars="50"/>
              <w:rPr>
                <w:b/>
                <w:sz w:val="24"/>
              </w:rPr>
            </w:pPr>
            <w:r>
              <w:rPr>
                <w:sz w:val="24"/>
              </w:rPr>
              <w:t>0</w:t>
            </w:r>
            <w:r>
              <w:rPr>
                <w:rFonts w:hint="eastAsia"/>
                <w:sz w:val="24"/>
                <w:lang w:val="en-US"/>
              </w:rPr>
              <w:t>3</w:t>
            </w:r>
            <w:r>
              <w:rPr>
                <w:sz w:val="24"/>
              </w:rPr>
              <w:t xml:space="preserve"> 行政</w:t>
            </w:r>
            <w:r>
              <w:rPr>
                <w:rFonts w:hint="eastAsia"/>
                <w:sz w:val="24"/>
              </w:rPr>
              <w:t>确认</w:t>
            </w:r>
            <w:r>
              <w:rPr>
                <w:sz w:val="24"/>
              </w:rPr>
              <w:t>类事项</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color w:val="000000"/>
                <w:sz w:val="23"/>
                <w:szCs w:val="23"/>
              </w:rPr>
              <w:t>母婴保健服务人员技术考核合格的确认</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spacing w:before="1" w:line="254" w:lineRule="auto"/>
              <w:ind w:left="111" w:right="284"/>
              <w:jc w:val="both"/>
              <w:rPr>
                <w:color w:val="000000"/>
                <w:sz w:val="23"/>
              </w:rPr>
            </w:pPr>
            <w:r>
              <w:rPr>
                <w:rFonts w:hint="eastAsia"/>
                <w:color w:val="000000"/>
                <w:sz w:val="23"/>
              </w:rPr>
              <w:t xml:space="preserve"> 《中华人民共和国母婴保健法》</w:t>
            </w:r>
            <w:r>
              <w:rPr>
                <w:color w:val="000000"/>
                <w:sz w:val="23"/>
              </w:rPr>
              <w:t>(1994年10月27通过)</w:t>
            </w:r>
          </w:p>
          <w:p>
            <w:pPr>
              <w:pStyle w:val="10"/>
              <w:spacing w:before="1" w:line="254" w:lineRule="auto"/>
              <w:ind w:left="111" w:right="284"/>
              <w:jc w:val="both"/>
              <w:rPr>
                <w:sz w:val="24"/>
              </w:rPr>
            </w:pPr>
            <w:r>
              <w:rPr>
                <w:rFonts w:hint="eastAsia"/>
                <w:sz w:val="24"/>
              </w:rPr>
              <w:t>《中华人民共和国母婴保健法实施办法》</w:t>
            </w:r>
            <w:r>
              <w:rPr>
                <w:sz w:val="24"/>
              </w:rPr>
              <w:t>(2001年国务院令第308号)：2017年11月17日修订</w:t>
            </w:r>
          </w:p>
          <w:p>
            <w:pPr>
              <w:pStyle w:val="10"/>
              <w:spacing w:before="1" w:line="254" w:lineRule="auto"/>
              <w:ind w:left="111" w:right="284"/>
              <w:jc w:val="both"/>
              <w:rPr>
                <w:sz w:val="24"/>
              </w:rPr>
            </w:pPr>
            <w:r>
              <w:rPr>
                <w:rFonts w:hint="eastAsia"/>
                <w:sz w:val="24"/>
              </w:rPr>
              <w:t>《黑龙江省母婴保健条例》</w:t>
            </w:r>
            <w:r>
              <w:rPr>
                <w:sz w:val="24"/>
              </w:rPr>
              <w:t>(2018年4月26日黑龙江省第十三届人民代表大会常务委员会第三次会议通过)</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line="307" w:lineRule="exact"/>
              <w:ind w:left="102"/>
              <w:rPr>
                <w:sz w:val="24"/>
              </w:rPr>
            </w:pPr>
            <w:r>
              <w:rPr>
                <w:rFonts w:hint="eastAsia"/>
                <w:sz w:val="24"/>
              </w:rPr>
              <w:t>申请材料</w:t>
            </w:r>
          </w:p>
          <w:p>
            <w:pPr>
              <w:pStyle w:val="10"/>
              <w:spacing w:line="307" w:lineRule="exact"/>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sz w:val="24"/>
              </w:rPr>
              <w:t>0310</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ind w:left="110" w:leftChars="50"/>
              <w:rPr>
                <w:b/>
                <w:sz w:val="24"/>
              </w:rPr>
            </w:pPr>
            <w:r>
              <w:rPr>
                <w:sz w:val="24"/>
              </w:rPr>
              <w:t>0</w:t>
            </w:r>
            <w:r>
              <w:rPr>
                <w:rFonts w:hint="eastAsia"/>
                <w:sz w:val="24"/>
                <w:lang w:val="en-US"/>
              </w:rPr>
              <w:t>3</w:t>
            </w:r>
            <w:r>
              <w:rPr>
                <w:sz w:val="24"/>
              </w:rPr>
              <w:t xml:space="preserve"> 行政</w:t>
            </w:r>
            <w:r>
              <w:rPr>
                <w:rFonts w:hint="eastAsia"/>
                <w:sz w:val="24"/>
              </w:rPr>
              <w:t>确认</w:t>
            </w:r>
            <w:r>
              <w:rPr>
                <w:sz w:val="24"/>
              </w:rPr>
              <w:t>类事项</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color w:val="000000"/>
                <w:sz w:val="23"/>
                <w:szCs w:val="23"/>
              </w:rPr>
              <w:t>托儿所、幼儿园卫生保健合格证核发</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rFonts w:hint="eastAsia"/>
                <w:sz w:val="24"/>
              </w:rPr>
              <w:t>《黑龙江省母婴保健条例》（</w:t>
            </w:r>
            <w:r>
              <w:rPr>
                <w:sz w:val="24"/>
              </w:rPr>
              <w:t>2015年4月17日修正）</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line="307" w:lineRule="exact"/>
              <w:ind w:left="102"/>
              <w:rPr>
                <w:sz w:val="24"/>
              </w:rPr>
            </w:pPr>
            <w:r>
              <w:rPr>
                <w:rFonts w:hint="eastAsia"/>
                <w:sz w:val="24"/>
              </w:rPr>
              <w:t>申请材料</w:t>
            </w:r>
          </w:p>
          <w:p>
            <w:pPr>
              <w:pStyle w:val="10"/>
              <w:spacing w:line="307" w:lineRule="exact"/>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pPr>
    </w:p>
    <w:p>
      <w:pPr>
        <w:rPr>
          <w:sz w:val="24"/>
        </w:rPr>
        <w:sectPr>
          <w:pgSz w:w="23820" w:h="16840" w:orient="landscape"/>
          <w:pgMar w:top="1420" w:right="800" w:bottom="1320" w:left="800" w:header="0" w:footer="1121" w:gutter="0"/>
          <w:cols w:space="720" w:num="1"/>
        </w:sect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401</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对在母婴保健工作中做出显著成绩和在母婴保健科学研究中取得显著成果的组织和个人的奖励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《中华人民共和国母婴保健法》</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 w:hRule="atLeast"/>
        </w:trPr>
        <w:tc>
          <w:tcPr>
            <w:tcW w:w="701"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r>
              <w:rPr>
                <w:rFonts w:hint="eastAsia"/>
                <w:sz w:val="24"/>
              </w:rPr>
              <w:t>0402</w:t>
            </w:r>
          </w:p>
          <w:p>
            <w:pPr>
              <w:pStyle w:val="10"/>
              <w:rPr>
                <w:sz w:val="24"/>
              </w:rPr>
            </w:pPr>
          </w:p>
          <w:p>
            <w:pPr>
              <w:pStyle w:val="10"/>
              <w:rPr>
                <w:sz w:val="24"/>
              </w:rPr>
            </w:pPr>
          </w:p>
          <w:p>
            <w:pPr>
              <w:pStyle w:val="10"/>
              <w:spacing w:before="12"/>
              <w:rPr>
                <w:sz w:val="19"/>
              </w:rPr>
            </w:pPr>
          </w:p>
          <w:p>
            <w:pPr>
              <w:pStyle w:val="10"/>
              <w:ind w:left="110" w:right="-29"/>
              <w:rPr>
                <w:sz w:val="24"/>
              </w:rPr>
            </w:pPr>
            <w:r>
              <w:rPr>
                <w:sz w:val="24"/>
              </w:rPr>
              <w:t xml:space="preserve"> </w:t>
            </w:r>
          </w:p>
        </w:tc>
        <w:tc>
          <w:tcPr>
            <w:tcW w:w="574"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12"/>
              <w:ind w:firstLine="130" w:firstLineChars="50"/>
              <w:rPr>
                <w:sz w:val="26"/>
              </w:rPr>
            </w:pPr>
            <w:r>
              <w:rPr>
                <w:rFonts w:hint="eastAsia"/>
                <w:sz w:val="26"/>
              </w:rPr>
              <w:t>04</w:t>
            </w:r>
          </w:p>
          <w:p>
            <w:pPr>
              <w:pStyle w:val="10"/>
              <w:spacing w:line="254" w:lineRule="auto"/>
              <w:ind w:left="167" w:right="34"/>
              <w:rPr>
                <w:sz w:val="24"/>
              </w:rPr>
            </w:pPr>
            <w:r>
              <w:rPr>
                <w:rFonts w:hint="eastAsia"/>
                <w:sz w:val="24"/>
              </w:rPr>
              <w:t>行</w:t>
            </w:r>
          </w:p>
          <w:p>
            <w:pPr>
              <w:pStyle w:val="10"/>
              <w:spacing w:line="254" w:lineRule="auto"/>
              <w:ind w:left="167" w:right="34"/>
              <w:rPr>
                <w:sz w:val="24"/>
              </w:rPr>
            </w:pPr>
            <w:r>
              <w:rPr>
                <w:rFonts w:hint="eastAsia"/>
                <w:sz w:val="24"/>
              </w:rPr>
              <w:t>政</w:t>
            </w:r>
          </w:p>
          <w:p>
            <w:pPr>
              <w:pStyle w:val="10"/>
              <w:spacing w:line="254" w:lineRule="auto"/>
              <w:ind w:left="167" w:right="34"/>
              <w:rPr>
                <w:sz w:val="24"/>
              </w:rPr>
            </w:pPr>
            <w:r>
              <w:rPr>
                <w:rFonts w:hint="eastAsia"/>
                <w:sz w:val="24"/>
              </w:rPr>
              <w:t>奖</w:t>
            </w:r>
          </w:p>
          <w:p>
            <w:pPr>
              <w:pStyle w:val="10"/>
              <w:spacing w:line="254" w:lineRule="auto"/>
              <w:ind w:left="167" w:right="34"/>
              <w:rPr>
                <w:sz w:val="24"/>
              </w:rPr>
            </w:pPr>
            <w:r>
              <w:rPr>
                <w:rFonts w:hint="eastAsia"/>
                <w:sz w:val="24"/>
              </w:rPr>
              <w:t>励</w:t>
            </w:r>
          </w:p>
          <w:p>
            <w:pPr>
              <w:pStyle w:val="10"/>
              <w:spacing w:line="254" w:lineRule="auto"/>
              <w:ind w:left="167" w:right="34"/>
              <w:rPr>
                <w:sz w:val="24"/>
              </w:rPr>
            </w:pPr>
            <w:r>
              <w:rPr>
                <w:rFonts w:hint="eastAsia"/>
                <w:sz w:val="24"/>
              </w:rPr>
              <w:t>类</w:t>
            </w:r>
          </w:p>
          <w:p>
            <w:pPr>
              <w:pStyle w:val="10"/>
              <w:spacing w:line="254" w:lineRule="auto"/>
              <w:ind w:left="167" w:right="34"/>
              <w:rPr>
                <w:sz w:val="24"/>
              </w:rPr>
            </w:pPr>
            <w:r>
              <w:rPr>
                <w:rFonts w:hint="eastAsia"/>
                <w:sz w:val="24"/>
              </w:rPr>
              <w:t>事</w:t>
            </w:r>
          </w:p>
          <w:p>
            <w:pPr>
              <w:pStyle w:val="10"/>
              <w:spacing w:line="254" w:lineRule="auto"/>
              <w:ind w:left="167" w:right="34"/>
              <w:rPr>
                <w:sz w:val="24"/>
              </w:rPr>
            </w:pPr>
            <w:r>
              <w:rPr>
                <w:rFonts w:hint="eastAsia"/>
                <w:sz w:val="24"/>
              </w:rPr>
              <w:t>项</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对做出突出贡献护士的表彰奖励</w:t>
            </w:r>
          </w:p>
        </w:tc>
        <w:tc>
          <w:tcPr>
            <w:tcW w:w="4389" w:type="dxa"/>
          </w:tcPr>
          <w:p>
            <w:pPr>
              <w:pStyle w:val="10"/>
              <w:spacing w:before="4"/>
              <w:rPr>
                <w:b/>
                <w:sz w:val="24"/>
              </w:rPr>
            </w:pPr>
            <w:r>
              <w:rPr>
                <w:sz w:val="24"/>
              </w:rPr>
              <w:t>法律法规和政策文件</w:t>
            </w:r>
          </w:p>
          <w:p>
            <w:pPr>
              <w:pStyle w:val="10"/>
              <w:ind w:left="102"/>
              <w:rPr>
                <w:sz w:val="24"/>
              </w:rPr>
            </w:pP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【行政法规】《护士条例》（国务院令第</w:t>
            </w:r>
            <w:r>
              <w:rPr>
                <w:color w:val="000000"/>
                <w:sz w:val="23"/>
              </w:rPr>
              <w:t>517号）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403</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对在食盐加碘消除碘缺乏危害工作中做出显著成绩的单位和个人给予奖励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《食盐加碘消除碘缺乏危害管理条例》（国务院令第</w:t>
            </w:r>
            <w:r>
              <w:rPr>
                <w:color w:val="000000"/>
                <w:sz w:val="23"/>
              </w:rPr>
              <w:t>163号）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404</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对在传染病防治工作中做出显著成绩和贡献的单位和个人给予表彰和奖励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《中华人民共和国传染病防治法》</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405</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对在继承和发展中医药事业、中医医疗工作等中做出显著贡献的单位和个人奖励表彰（增加）</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color w:val="000000"/>
                <w:sz w:val="23"/>
              </w:rPr>
            </w:pPr>
            <w:r>
              <w:rPr>
                <w:rFonts w:hint="eastAsia"/>
                <w:color w:val="000000"/>
                <w:sz w:val="23"/>
              </w:rPr>
              <w:t>《中华人民共和国中医药条例》</w:t>
            </w:r>
          </w:p>
          <w:p>
            <w:pPr>
              <w:pStyle w:val="10"/>
              <w:spacing w:before="1" w:line="254" w:lineRule="auto"/>
              <w:ind w:left="111" w:right="284"/>
              <w:jc w:val="both"/>
              <w:rPr>
                <w:sz w:val="24"/>
              </w:rPr>
            </w:pPr>
            <w:r>
              <w:rPr>
                <w:rFonts w:hint="eastAsia"/>
                <w:sz w:val="24"/>
              </w:rPr>
              <w:t>《中华人民共和国中医药法》</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406</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对在预防接种工作中作出显著成绩和贡献的接种单位及其工作人员给予奖励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【行政法规】《疫苗流通和预防接种管理条 例》（中华人民共和国国务院令第 434 号 2016 年 4 月 23 日《国务院关于修改的决定》修订）</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407</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对医师的表彰奖励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【法律】《中华人民共和国执业医师法》 （中华人民共和国主席令第 5 号 2009 年 8 月 27 日修正）</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408</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中医药工作奖励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【法律】《中华人民共和国中医药法》（中 华人民共和国主席令第 59 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409</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对在精神卫生工作中作出突出贡献的组织、个人给予表彰、奖励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【法律】《中华人民共和国精神卫生法》 （中华人民共和国主席令第 62 号 2018 年 4 月 27 日修正）</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410</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对在艾滋病防治工作中做出显著成绩和贡献的单位和个人给予表彰和奖励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【行政法规】《艾滋病防治条例》（中华人 民共和国国务院令第 457 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411</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职业病防治奖励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【法律】《中华人民共和国职业病防治法》 （中华人民共和国主席令第 24 号 2018 年 12 月 29 日修改)</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412</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对在突发事件应急处理、突发公共卫生事件与传染病疫情监测信息报告管理工作中做出贡献的人员给予表彰和奖励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r>
              <w:t>【部门规章及规范性文件】《突发公共卫生 事件与传染病疫情监测信息报告管理办法》 （中华人民共和国卫生部令第 37 号）</w:t>
            </w:r>
          </w:p>
          <w:p>
            <w:pPr>
              <w:pStyle w:val="10"/>
              <w:spacing w:before="1" w:line="254" w:lineRule="auto"/>
              <w:ind w:left="111" w:right="284"/>
              <w:jc w:val="both"/>
              <w:rPr>
                <w:sz w:val="24"/>
              </w:rPr>
            </w:pPr>
            <w:r>
              <w:rPr>
                <w:rFonts w:hint="eastAsia"/>
                <w:color w:val="000000"/>
                <w:sz w:val="23"/>
              </w:rPr>
              <w:t xml:space="preserve">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413</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对在学校卫生工作中成绩显著的单位或者个人的表彰奖励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【行政法规】《学校卫生工作条例》(国家教 育委员会令第 10 号 中华人民共和国卫生部 令第 1 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414</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无偿献血奖励、先进表彰</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【法律】《中华人民共和国献血法》（中华 人民共和国主席令第 93 号） 【部门规章及规范性文件】《全国无偿献血 表彰奖励办法》（国卫医发〔2014〕30 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501</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5</w:t>
            </w:r>
            <w:r>
              <w:rPr>
                <w:sz w:val="24"/>
              </w:rPr>
              <w:t xml:space="preserve"> 行政</w:t>
            </w:r>
            <w:r>
              <w:t>裁 决</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医疗机构名称裁定</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【部门规章及规范性文件】《医疗机构管理 条例实施细则》（中华人民共和国卫生部令 第 35 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办事指南，包括：适用范围、办理依 据、办理条件、申办材料、办理方式、 办理流程、办理时限、收费依据及标 准、结果送达、咨询方式、监督投诉渠 道、办理地址和时间、办理进程、结果 查询</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结果信息——行政裁决书</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601</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6</w:t>
            </w:r>
            <w:r>
              <w:rPr>
                <w:sz w:val="24"/>
              </w:rPr>
              <w:t xml:space="preserve"> </w:t>
            </w:r>
            <w:r>
              <w:rPr>
                <w:rFonts w:hint="eastAsia"/>
                <w:sz w:val="24"/>
              </w:rPr>
              <w:t>其他</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权限内医师多机构备案</w:t>
            </w:r>
          </w:p>
        </w:tc>
        <w:tc>
          <w:tcPr>
            <w:tcW w:w="4389" w:type="dxa"/>
          </w:tcPr>
          <w:p>
            <w:pPr>
              <w:pStyle w:val="10"/>
              <w:spacing w:before="4"/>
              <w:rPr>
                <w:b/>
                <w:sz w:val="24"/>
              </w:rPr>
            </w:pPr>
          </w:p>
          <w:p>
            <w:pPr>
              <w:pStyle w:val="10"/>
              <w:ind w:left="102"/>
              <w:rPr>
                <w:sz w:val="24"/>
              </w:rPr>
            </w:pPr>
            <w:r>
              <w:t>法律法规和政策文件</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pPr>
            <w:r>
              <w:rPr>
                <w:rFonts w:hint="eastAsia"/>
                <w:color w:val="000000"/>
                <w:sz w:val="23"/>
              </w:rPr>
              <w:t xml:space="preserve"> </w:t>
            </w:r>
            <w:r>
              <w:t>【部门规章及规范性文件】《医师执业注册 管理办法》（国家卫生和计划生育委员会令 第 13 号）</w:t>
            </w:r>
          </w:p>
          <w:p>
            <w:pPr>
              <w:pStyle w:val="10"/>
              <w:spacing w:before="1" w:line="254" w:lineRule="auto"/>
              <w:ind w:left="111" w:right="284"/>
              <w:jc w:val="both"/>
              <w:rPr>
                <w:sz w:val="24"/>
              </w:rPr>
            </w:pPr>
            <w:r>
              <w:rPr>
                <w:rFonts w:hint="eastAsia"/>
                <w:sz w:val="24"/>
              </w:rPr>
              <w:t>《中华人民共和国执业医师法》</w:t>
            </w:r>
            <w:r>
              <w:rPr>
                <w:sz w:val="24"/>
              </w:rPr>
              <w:t>(2009年8月27日修正)</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主要执业机构、其他执业机构</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办理流程、申请材料、办理时限等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r>
              <w:t>投诉举报电话以及网上投诉渠道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602</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6</w:t>
            </w:r>
            <w:r>
              <w:rPr>
                <w:sz w:val="24"/>
              </w:rPr>
              <w:t xml:space="preserve"> </w:t>
            </w:r>
            <w:r>
              <w:rPr>
                <w:rFonts w:hint="eastAsia"/>
                <w:sz w:val="24"/>
              </w:rPr>
              <w:t>其他</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ascii="微软雅黑" w:hAnsi="微软雅黑" w:eastAsia="微软雅黑"/>
                <w:color w:val="000000"/>
                <w:sz w:val="26"/>
                <w:szCs w:val="26"/>
              </w:rPr>
              <w:t>中医诊所备案</w:t>
            </w:r>
          </w:p>
        </w:tc>
        <w:tc>
          <w:tcPr>
            <w:tcW w:w="4389" w:type="dxa"/>
          </w:tcPr>
          <w:p>
            <w:pPr>
              <w:pStyle w:val="10"/>
              <w:spacing w:before="4"/>
              <w:rPr>
                <w:b/>
                <w:sz w:val="24"/>
              </w:rPr>
            </w:pPr>
          </w:p>
          <w:p>
            <w:pPr>
              <w:pStyle w:val="10"/>
              <w:ind w:left="102"/>
              <w:rPr>
                <w:sz w:val="24"/>
              </w:rPr>
            </w:pPr>
            <w:r>
              <w:t>法律法规和政策文件</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p>
          <w:p>
            <w:pPr>
              <w:pStyle w:val="10"/>
              <w:spacing w:before="1" w:line="254" w:lineRule="auto"/>
              <w:ind w:left="111" w:right="284"/>
              <w:jc w:val="both"/>
              <w:rPr>
                <w:sz w:val="24"/>
              </w:rPr>
            </w:pPr>
            <w:r>
              <w:rPr>
                <w:rFonts w:hint="eastAsia"/>
                <w:sz w:val="24"/>
              </w:rPr>
              <w:t>《中医诊所备案管理暂行办法》</w:t>
            </w:r>
            <w:r>
              <w:rPr>
                <w:sz w:val="24"/>
              </w:rPr>
              <w:t>(中华人民共和国国家卫生和计划生育委员会令第14号)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申请材料、办理时限等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r>
              <w:t>投诉举报电话以及网上投诉渠道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lang w:val="en-US"/>
              </w:rPr>
            </w:pPr>
          </w:p>
          <w:p>
            <w:pPr>
              <w:pStyle w:val="10"/>
              <w:rPr>
                <w:b/>
                <w:sz w:val="24"/>
              </w:rPr>
            </w:pPr>
          </w:p>
          <w:p>
            <w:pPr>
              <w:pStyle w:val="10"/>
              <w:spacing w:before="12"/>
              <w:rPr>
                <w:b/>
                <w:sz w:val="19"/>
              </w:rPr>
            </w:pPr>
          </w:p>
          <w:p>
            <w:pPr>
              <w:pStyle w:val="10"/>
              <w:ind w:left="110" w:right="-29"/>
              <w:rPr>
                <w:sz w:val="24"/>
              </w:rPr>
            </w:pPr>
            <w:r>
              <w:rPr>
                <w:rFonts w:hint="eastAsia"/>
                <w:sz w:val="24"/>
              </w:rPr>
              <w:t>0701</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7</w:t>
            </w:r>
            <w:r>
              <w:rPr>
                <w:sz w:val="24"/>
              </w:rPr>
              <w:t xml:space="preserve"> 行政</w:t>
            </w:r>
            <w:r>
              <w:rPr>
                <w:rFonts w:hint="eastAsia"/>
                <w:sz w:val="24"/>
              </w:rPr>
              <w:t>强制</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 xml:space="preserve">传染病病原体污染的公共饮用水源、食品以及相关物品的行政强制 </w:t>
            </w:r>
          </w:p>
          <w:p>
            <w:pPr>
              <w:pStyle w:val="10"/>
              <w:rPr>
                <w:b/>
                <w:sz w:val="24"/>
              </w:rPr>
            </w:pP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tbl>
            <w:tblPr>
              <w:tblStyle w:val="6"/>
              <w:tblW w:w="4740" w:type="dxa"/>
              <w:tblInd w:w="0" w:type="dxa"/>
              <w:tblLayout w:type="fixed"/>
              <w:tblCellMar>
                <w:top w:w="0" w:type="dxa"/>
                <w:left w:w="108" w:type="dxa"/>
                <w:bottom w:w="0" w:type="dxa"/>
                <w:right w:w="108" w:type="dxa"/>
              </w:tblCellMar>
            </w:tblPr>
            <w:tblGrid>
              <w:gridCol w:w="4740"/>
            </w:tblGrid>
            <w:tr>
              <w:tblPrEx>
                <w:tblCellMar>
                  <w:top w:w="0" w:type="dxa"/>
                  <w:left w:w="108" w:type="dxa"/>
                  <w:bottom w:w="0" w:type="dxa"/>
                  <w:right w:w="108" w:type="dxa"/>
                </w:tblCellMar>
              </w:tblPrEx>
              <w:trPr>
                <w:trHeight w:val="1749" w:hRule="atLeast"/>
              </w:trPr>
              <w:tc>
                <w:tcPr>
                  <w:tcW w:w="4740" w:type="dxa"/>
                  <w:tcBorders>
                    <w:tl2br w:val="nil"/>
                    <w:tr2bl w:val="nil"/>
                  </w:tcBorders>
                </w:tcPr>
                <w:tbl>
                  <w:tblPr>
                    <w:tblStyle w:val="6"/>
                    <w:tblW w:w="4620" w:type="dxa"/>
                    <w:tblInd w:w="0" w:type="dxa"/>
                    <w:tblLayout w:type="fixed"/>
                    <w:tblCellMar>
                      <w:top w:w="0" w:type="dxa"/>
                      <w:left w:w="108" w:type="dxa"/>
                      <w:bottom w:w="0" w:type="dxa"/>
                      <w:right w:w="108" w:type="dxa"/>
                    </w:tblCellMar>
                  </w:tblPr>
                  <w:tblGrid>
                    <w:gridCol w:w="4620"/>
                  </w:tblGrid>
                  <w:tr>
                    <w:tblPrEx>
                      <w:tblCellMar>
                        <w:top w:w="0" w:type="dxa"/>
                        <w:left w:w="108" w:type="dxa"/>
                        <w:bottom w:w="0" w:type="dxa"/>
                        <w:right w:w="108" w:type="dxa"/>
                      </w:tblCellMar>
                    </w:tblPrEx>
                    <w:trPr>
                      <w:trHeight w:val="1914" w:hRule="atLeast"/>
                    </w:trPr>
                    <w:tc>
                      <w:tcPr>
                        <w:tcW w:w="4620" w:type="dxa"/>
                        <w:tcBorders>
                          <w:tl2br w:val="nil"/>
                          <w:tr2bl w:val="nil"/>
                        </w:tcBorders>
                      </w:tcPr>
                      <w:p>
                        <w:pPr>
                          <w:rPr>
                            <w:color w:val="000000"/>
                            <w:sz w:val="23"/>
                          </w:rPr>
                        </w:pPr>
                        <w:r>
                          <w:rPr>
                            <w:rFonts w:hint="eastAsia"/>
                            <w:color w:val="000000"/>
                            <w:sz w:val="23"/>
                          </w:rPr>
                          <w:t xml:space="preserve">【法律】《中华人民共和国传染病防治法》（2013年6月29日修正） </w:t>
                        </w:r>
                      </w:p>
                      <w:p>
                        <w:pPr>
                          <w:rPr>
                            <w:color w:val="000000"/>
                            <w:sz w:val="23"/>
                          </w:rPr>
                        </w:pPr>
                        <w:r>
                          <w:rPr>
                            <w:rFonts w:hint="eastAsia"/>
                            <w:color w:val="000000"/>
                            <w:sz w:val="23"/>
                          </w:rPr>
                          <w:t xml:space="preserve">【行政法规】《疫苗流通和预防接种管理条例》（中华人民共和国国务院令第434号 2016年4月23日《国务院关于修改&lt;疫苗流通和预防接种管理条例&gt;的决定》修订） </w:t>
                        </w:r>
                      </w:p>
                      <w:p>
                        <w:pPr>
                          <w:rPr>
                            <w:color w:val="000000"/>
                            <w:sz w:val="23"/>
                          </w:rPr>
                        </w:pPr>
                        <w:r>
                          <w:rPr>
                            <w:rFonts w:hint="eastAsia"/>
                            <w:color w:val="000000"/>
                            <w:sz w:val="23"/>
                          </w:rPr>
                          <w:t xml:space="preserve">【行政法规】《中华人民共和国传染病防治法实施办法》（中华人民共和国卫生部令第17号） </w:t>
                        </w:r>
                      </w:p>
                      <w:p>
                        <w:pPr>
                          <w:rPr>
                            <w:color w:val="000000"/>
                            <w:sz w:val="23"/>
                          </w:rPr>
                        </w:pPr>
                        <w:r>
                          <w:rPr>
                            <w:rFonts w:hint="eastAsia"/>
                            <w:color w:val="000000"/>
                            <w:sz w:val="23"/>
                          </w:rPr>
                          <w:t xml:space="preserve">【部门规章及规范性文件《国家卫生计生委关于印发传染病防治卫生监督工作规范的通知》（国卫监督发〔2014〕44号） </w:t>
                        </w:r>
                      </w:p>
                    </w:tc>
                  </w:tr>
                  <w:tr>
                    <w:tblPrEx>
                      <w:tblCellMar>
                        <w:top w:w="0" w:type="dxa"/>
                        <w:left w:w="108" w:type="dxa"/>
                        <w:bottom w:w="0" w:type="dxa"/>
                        <w:right w:w="108" w:type="dxa"/>
                      </w:tblCellMar>
                    </w:tblPrEx>
                    <w:trPr>
                      <w:trHeight w:val="1914" w:hRule="atLeast"/>
                    </w:trPr>
                    <w:tc>
                      <w:tcPr>
                        <w:tcW w:w="4620" w:type="dxa"/>
                        <w:tcBorders>
                          <w:tl2br w:val="nil"/>
                          <w:tr2bl w:val="nil"/>
                        </w:tcBorders>
                      </w:tcPr>
                      <w:p>
                        <w:pPr>
                          <w:rPr>
                            <w:color w:val="000000"/>
                            <w:sz w:val="23"/>
                          </w:rPr>
                        </w:pPr>
                      </w:p>
                    </w:tc>
                  </w:tr>
                </w:tbl>
                <w:p>
                  <w:pPr>
                    <w:rPr>
                      <w:color w:val="000000"/>
                      <w:sz w:val="23"/>
                    </w:rPr>
                  </w:pPr>
                </w:p>
              </w:tc>
            </w:tr>
          </w:tbl>
          <w:p>
            <w:pPr>
              <w:pStyle w:val="10"/>
              <w:spacing w:before="1" w:line="254" w:lineRule="auto"/>
              <w:ind w:left="111" w:right="284"/>
              <w:jc w:val="both"/>
              <w:rPr>
                <w:sz w:val="24"/>
              </w:rPr>
            </w:pP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t>结果信息，包括催告书、强制执行决定 书</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lang w:val="en-US"/>
              </w:rPr>
            </w:pPr>
          </w:p>
          <w:p>
            <w:pPr>
              <w:pStyle w:val="10"/>
              <w:rPr>
                <w:b/>
                <w:sz w:val="24"/>
              </w:rPr>
            </w:pPr>
          </w:p>
          <w:p>
            <w:pPr>
              <w:pStyle w:val="10"/>
              <w:spacing w:before="12"/>
              <w:rPr>
                <w:b/>
                <w:sz w:val="19"/>
              </w:rPr>
            </w:pPr>
          </w:p>
          <w:p>
            <w:pPr>
              <w:pStyle w:val="10"/>
              <w:ind w:left="110" w:right="-29"/>
              <w:rPr>
                <w:sz w:val="24"/>
              </w:rPr>
            </w:pPr>
            <w:r>
              <w:rPr>
                <w:rFonts w:hint="eastAsia"/>
                <w:sz w:val="24"/>
              </w:rPr>
              <w:t>0801</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8</w:t>
            </w:r>
            <w:r>
              <w:rPr>
                <w:sz w:val="24"/>
              </w:rPr>
              <w:t xml:space="preserve"> </w:t>
            </w:r>
            <w:r>
              <w:t>行 政 检 查 类 事 项</w:t>
            </w:r>
            <w:r>
              <w:rPr>
                <w:sz w:val="24"/>
              </w:rPr>
              <w:t xml:space="preserve">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spacing w:line="400" w:lineRule="exact"/>
              <w:ind w:right="240"/>
              <w:rPr>
                <w:sz w:val="24"/>
              </w:rPr>
            </w:pPr>
            <w:r>
              <w:rPr>
                <w:rFonts w:hint="eastAsia"/>
                <w:sz w:val="24"/>
              </w:rPr>
              <w:t>对本行政区域内医疗机构的行政监督检查</w:t>
            </w: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rPr>
                <w:rFonts w:cs="黑体"/>
                <w:sz w:val="24"/>
              </w:rPr>
            </w:pPr>
            <w:r>
              <w:rPr>
                <w:sz w:val="24"/>
              </w:rPr>
              <w:t xml:space="preserve"> </w:t>
            </w:r>
            <w:r>
              <w:rPr>
                <w:rFonts w:hint="eastAsia"/>
                <w:color w:val="000000"/>
                <w:sz w:val="24"/>
              </w:rPr>
              <w:t>《黑龙江省医疗机构管理办法》(黑龙江省人民政府令(第7号) )</w:t>
            </w:r>
          </w:p>
          <w:p>
            <w:pPr>
              <w:pStyle w:val="10"/>
              <w:spacing w:before="1" w:line="254" w:lineRule="auto"/>
              <w:ind w:left="111" w:right="284"/>
              <w:jc w:val="both"/>
              <w:rPr>
                <w:sz w:val="24"/>
              </w:rPr>
            </w:pP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b w:val="0"/>
                <w:bCs/>
                <w:sz w:val="24"/>
                <w:szCs w:val="24"/>
                <w:lang w:val="en-US" w:eastAsia="zh-CN"/>
              </w:rPr>
              <w:t>岭东区</w:t>
            </w:r>
            <w:r>
              <w:rPr>
                <w:b w:val="0"/>
                <w:bCs/>
                <w:sz w:val="24"/>
                <w:szCs w:val="24"/>
              </w:rPr>
              <w:t>卫生健康</w:t>
            </w:r>
            <w:r>
              <w:rPr>
                <w:rFonts w:hint="eastAsia"/>
                <w:b w:val="0"/>
                <w:bCs/>
                <w:sz w:val="24"/>
                <w:szCs w:val="24"/>
                <w:lang w:val="en-US" w:eastAsia="zh-CN"/>
              </w:rPr>
              <w:t>局</w:t>
            </w:r>
            <w:r>
              <w:rPr>
                <w:sz w:val="24"/>
              </w:rPr>
              <w:t xml:space="preserve"> </w:t>
            </w:r>
            <w:bookmarkStart w:id="0" w:name="_GoBack"/>
            <w:bookmarkEnd w:id="0"/>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t>检查计划及方案</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检查结果及处理信息</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t>投诉举报电话以及网上投诉渠道</w:t>
            </w: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sectPr>
      <w:pgSz w:w="23820" w:h="16840" w:orient="landscape"/>
      <w:pgMar w:top="1420" w:right="800" w:bottom="1320" w:left="800" w:header="0" w:footer="112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pict>
        <v:shape id="_x0000_s2049" o:spid="_x0000_s2049" o:spt="202" type="#_x0000_t202" style="position:absolute;left:0pt;margin-left:583.15pt;margin-top:770.85pt;height:12pt;width:28.05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b/>
                    <w:sz w:val="18"/>
                  </w:rPr>
                </w:pPr>
                <w:r>
                  <w:fldChar w:fldCharType="begin"/>
                </w:r>
                <w:r>
                  <w:rPr>
                    <w:rFonts w:ascii="Times New Roman"/>
                    <w:b/>
                    <w:sz w:val="18"/>
                  </w:rPr>
                  <w:instrText xml:space="preserve"> PAGE </w:instrText>
                </w:r>
                <w:r>
                  <w:fldChar w:fldCharType="separate"/>
                </w:r>
                <w:r>
                  <w:rPr>
                    <w:rFonts w:ascii="Times New Roman"/>
                    <w:b/>
                    <w:sz w:val="18"/>
                  </w:rPr>
                  <w:t>58</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172A27"/>
    <w:rsid w:val="00172A27"/>
    <w:rsid w:val="00194E1F"/>
    <w:rsid w:val="001A45EB"/>
    <w:rsid w:val="001B4A21"/>
    <w:rsid w:val="001E4093"/>
    <w:rsid w:val="002B0D88"/>
    <w:rsid w:val="00490D70"/>
    <w:rsid w:val="004D6532"/>
    <w:rsid w:val="00592954"/>
    <w:rsid w:val="00617EBA"/>
    <w:rsid w:val="00644DFE"/>
    <w:rsid w:val="00664EE4"/>
    <w:rsid w:val="006662DB"/>
    <w:rsid w:val="0066757F"/>
    <w:rsid w:val="00683C76"/>
    <w:rsid w:val="006D42AF"/>
    <w:rsid w:val="00710DFB"/>
    <w:rsid w:val="00751B12"/>
    <w:rsid w:val="007711BE"/>
    <w:rsid w:val="00772CF8"/>
    <w:rsid w:val="007761B8"/>
    <w:rsid w:val="007875F7"/>
    <w:rsid w:val="007951ED"/>
    <w:rsid w:val="00802CF3"/>
    <w:rsid w:val="00841D67"/>
    <w:rsid w:val="0085215A"/>
    <w:rsid w:val="00890024"/>
    <w:rsid w:val="008D2E84"/>
    <w:rsid w:val="009219E9"/>
    <w:rsid w:val="009353CB"/>
    <w:rsid w:val="00953DC1"/>
    <w:rsid w:val="009837EF"/>
    <w:rsid w:val="00A1161C"/>
    <w:rsid w:val="00A73843"/>
    <w:rsid w:val="00A848BC"/>
    <w:rsid w:val="00A90F0B"/>
    <w:rsid w:val="00B57625"/>
    <w:rsid w:val="00D8623A"/>
    <w:rsid w:val="00DE22BA"/>
    <w:rsid w:val="00DF6455"/>
    <w:rsid w:val="00E11E5A"/>
    <w:rsid w:val="00E66EB7"/>
    <w:rsid w:val="00EF7F9C"/>
    <w:rsid w:val="00F57DA1"/>
    <w:rsid w:val="00F70C48"/>
    <w:rsid w:val="00FA19E5"/>
    <w:rsid w:val="00FD694C"/>
    <w:rsid w:val="07E8548D"/>
    <w:rsid w:val="0A744E72"/>
    <w:rsid w:val="10E8176B"/>
    <w:rsid w:val="12825BC7"/>
    <w:rsid w:val="17023F55"/>
    <w:rsid w:val="1BE476BD"/>
    <w:rsid w:val="1EF85868"/>
    <w:rsid w:val="26FB6ECE"/>
    <w:rsid w:val="297835DC"/>
    <w:rsid w:val="2C9936B8"/>
    <w:rsid w:val="34D21227"/>
    <w:rsid w:val="353E692B"/>
    <w:rsid w:val="373C0E4D"/>
    <w:rsid w:val="3B6C6678"/>
    <w:rsid w:val="40366D98"/>
    <w:rsid w:val="42356403"/>
    <w:rsid w:val="432E252D"/>
    <w:rsid w:val="44B95F92"/>
    <w:rsid w:val="4CF84467"/>
    <w:rsid w:val="4D770C05"/>
    <w:rsid w:val="52F1185C"/>
    <w:rsid w:val="53FE37AE"/>
    <w:rsid w:val="552A23FB"/>
    <w:rsid w:val="57B47049"/>
    <w:rsid w:val="5B497517"/>
    <w:rsid w:val="5C914427"/>
    <w:rsid w:val="5FDE7F3E"/>
    <w:rsid w:val="627255BC"/>
    <w:rsid w:val="629E2300"/>
    <w:rsid w:val="65432466"/>
    <w:rsid w:val="6DA21325"/>
    <w:rsid w:val="6EE71614"/>
    <w:rsid w:val="6F422594"/>
    <w:rsid w:val="73EC40BE"/>
    <w:rsid w:val="75490578"/>
    <w:rsid w:val="7D461500"/>
    <w:rsid w:val="7D9C4CB7"/>
    <w:rsid w:val="7ED56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b/>
      <w:bCs/>
      <w:sz w:val="48"/>
      <w:szCs w:val="48"/>
    </w:rPr>
  </w:style>
  <w:style w:type="paragraph" w:styleId="3">
    <w:name w:val="footer"/>
    <w:basedOn w:val="1"/>
    <w:link w:val="13"/>
    <w:uiPriority w:val="0"/>
    <w:pPr>
      <w:tabs>
        <w:tab w:val="center" w:pos="4153"/>
        <w:tab w:val="right" w:pos="8306"/>
      </w:tabs>
      <w:snapToGrid w:val="0"/>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pPr>
    <w:rPr>
      <w:rFonts w:cs="Times New Roman"/>
      <w:sz w:val="24"/>
      <w:lang w:val="en-US" w:bidi="ar-SA"/>
    </w:rPr>
  </w:style>
  <w:style w:type="table" w:customStyle="1" w:styleId="8">
    <w:name w:val="Table Normal"/>
    <w:unhideWhenUsed/>
    <w:qFormat/>
    <w:uiPriority w:val="2"/>
    <w:tblPr>
      <w:tblCellMar>
        <w:top w:w="0" w:type="dxa"/>
        <w:left w:w="0" w:type="dxa"/>
        <w:bottom w:w="0" w:type="dxa"/>
        <w:right w:w="0" w:type="dxa"/>
      </w:tblCellMar>
    </w:tblPr>
  </w:style>
  <w:style w:type="paragraph" w:customStyle="1" w:styleId="9">
    <w:name w:val="列出段落1"/>
    <w:basedOn w:val="1"/>
    <w:qFormat/>
    <w:uiPriority w:val="1"/>
  </w:style>
  <w:style w:type="paragraph" w:customStyle="1" w:styleId="10">
    <w:name w:val="Table Paragraph"/>
    <w:basedOn w:val="1"/>
    <w:qFormat/>
    <w:uiPriority w:val="1"/>
  </w:style>
  <w:style w:type="paragraph" w:customStyle="1" w:styleId="11">
    <w:name w:val="Default"/>
    <w:unhideWhenUsed/>
    <w:qFormat/>
    <w:uiPriority w:val="99"/>
    <w:pPr>
      <w:widowControl w:val="0"/>
      <w:autoSpaceDE w:val="0"/>
      <w:autoSpaceDN w:val="0"/>
      <w:adjustRightInd w:val="0"/>
    </w:pPr>
    <w:rPr>
      <w:rFonts w:ascii="宋体" w:hAnsi="宋体" w:eastAsia="宋体" w:cstheme="minorBidi"/>
      <w:color w:val="000000"/>
      <w:sz w:val="24"/>
      <w:lang w:val="en-US" w:eastAsia="zh-CN" w:bidi="ar-SA"/>
    </w:rPr>
  </w:style>
  <w:style w:type="character" w:customStyle="1" w:styleId="12">
    <w:name w:val="页眉 Char"/>
    <w:basedOn w:val="7"/>
    <w:link w:val="4"/>
    <w:uiPriority w:val="0"/>
    <w:rPr>
      <w:rFonts w:ascii="宋体" w:hAnsi="宋体" w:eastAsia="宋体" w:cs="宋体"/>
      <w:sz w:val="18"/>
      <w:szCs w:val="18"/>
      <w:lang w:val="zh-CN" w:bidi="zh-CN"/>
    </w:rPr>
  </w:style>
  <w:style w:type="character" w:customStyle="1" w:styleId="13">
    <w:name w:val="页脚 Char"/>
    <w:basedOn w:val="7"/>
    <w:link w:val="3"/>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7577</Words>
  <Characters>43191</Characters>
  <Lines>359</Lines>
  <Paragraphs>101</Paragraphs>
  <TotalTime>0</TotalTime>
  <ScaleCrop>false</ScaleCrop>
  <LinksUpToDate>false</LinksUpToDate>
  <CharactersWithSpaces>50667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2020-09-19T07:29:00Z</dcterms:created>
  <dc:creator>mingyan you</dc:creator>
  <cp:lastModifiedBy>lenovo</cp:lastModifiedBy>
  <dcterms:modified xsi:type="dcterms:W3CDTF">2021-04-04T12:55:21Z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2016</vt:lpwstr>
  </property>
  <property fmtid="{D5CDD505-2E9C-101B-9397-08002B2CF9AE}" pid="4" name="LastSaved">
    <vt:filetime>2020-09-18T00:00:00Z</vt:filetime>
  </property>
  <property fmtid="{D5CDD505-2E9C-101B-9397-08002B2CF9AE}" pid="5" name="KSOProductBuildVer">
    <vt:lpwstr>2052-11.1.0.10228</vt:lpwstr>
  </property>
</Properties>
</file>