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spacing w:line="266" w:lineRule="auto" w:before="38"/>
        <w:ind w:left="303" w:right="1169" w:firstLine="0"/>
        <w:jc w:val="center"/>
        <w:rPr>
          <w:b/>
          <w:sz w:val="44"/>
        </w:rPr>
      </w:pPr>
      <w:r>
        <w:rPr>
          <w:b/>
          <w:w w:val="95"/>
          <w:sz w:val="44"/>
        </w:rPr>
        <w:t>双鸭山新自矿业有限责任公司（原双鸭山双 兴时代矿业有限责任公司一井）改扩建项目</w:t>
      </w:r>
      <w:r>
        <w:rPr>
          <w:b/>
          <w:sz w:val="44"/>
        </w:rPr>
        <w:t>环境影响评价</w:t>
      </w:r>
    </w:p>
    <w:p>
      <w:pPr>
        <w:spacing w:before="358"/>
        <w:ind w:left="294" w:right="1169" w:firstLine="0"/>
        <w:jc w:val="center"/>
        <w:rPr>
          <w:b/>
          <w:sz w:val="96"/>
        </w:rPr>
      </w:pPr>
      <w:r>
        <w:rPr>
          <w:b/>
          <w:sz w:val="96"/>
        </w:rPr>
        <w:t>公众参与说明</w:t>
      </w:r>
    </w:p>
    <w:p>
      <w:pPr>
        <w:pStyle w:val="BodyText"/>
        <w:rPr>
          <w:b/>
          <w:sz w:val="96"/>
        </w:rPr>
      </w:pPr>
    </w:p>
    <w:p>
      <w:pPr>
        <w:pStyle w:val="BodyText"/>
        <w:rPr>
          <w:b/>
          <w:sz w:val="96"/>
        </w:rPr>
      </w:pPr>
    </w:p>
    <w:p>
      <w:pPr>
        <w:pStyle w:val="BodyText"/>
        <w:rPr>
          <w:b/>
          <w:sz w:val="96"/>
        </w:rPr>
      </w:pPr>
    </w:p>
    <w:p>
      <w:pPr>
        <w:pStyle w:val="BodyText"/>
        <w:spacing w:before="9"/>
        <w:rPr>
          <w:b/>
          <w:sz w:val="134"/>
        </w:rPr>
      </w:pPr>
    </w:p>
    <w:p>
      <w:pPr>
        <w:spacing w:before="0"/>
        <w:ind w:left="297" w:right="1169" w:firstLine="0"/>
        <w:jc w:val="center"/>
        <w:rPr>
          <w:b/>
          <w:sz w:val="40"/>
        </w:rPr>
      </w:pPr>
      <w:r>
        <w:rPr>
          <w:b/>
          <w:sz w:val="40"/>
        </w:rPr>
        <w:t>双鸭山新自矿业有限责任公司</w:t>
      </w:r>
    </w:p>
    <w:p>
      <w:pPr>
        <w:pStyle w:val="BodyText"/>
        <w:spacing w:before="6"/>
        <w:rPr>
          <w:b/>
          <w:sz w:val="34"/>
        </w:rPr>
      </w:pPr>
    </w:p>
    <w:p>
      <w:pPr>
        <w:spacing w:before="0"/>
        <w:ind w:left="289" w:right="1169" w:firstLine="0"/>
        <w:jc w:val="center"/>
        <w:rPr>
          <w:b/>
          <w:sz w:val="32"/>
        </w:rPr>
      </w:pPr>
      <w:r>
        <w:rPr>
          <w:b/>
          <w:sz w:val="32"/>
        </w:rPr>
        <w:t>二</w:t>
      </w:r>
      <w:r>
        <w:rPr>
          <w:position w:val="1"/>
          <w:sz w:val="28"/>
        </w:rPr>
        <w:t>〇</w:t>
      </w:r>
      <w:r>
        <w:rPr>
          <w:b/>
          <w:sz w:val="32"/>
        </w:rPr>
        <w:t>二</w:t>
      </w:r>
      <w:r>
        <w:rPr>
          <w:position w:val="1"/>
          <w:sz w:val="28"/>
        </w:rPr>
        <w:t>〇</w:t>
      </w:r>
      <w:r>
        <w:rPr>
          <w:b/>
          <w:sz w:val="32"/>
        </w:rPr>
        <w:t>年十月</w:t>
      </w:r>
    </w:p>
    <w:p>
      <w:pPr>
        <w:spacing w:after="0"/>
        <w:jc w:val="center"/>
        <w:rPr>
          <w:sz w:val="32"/>
        </w:rPr>
        <w:sectPr>
          <w:type w:val="continuous"/>
          <w:pgSz w:w="11910" w:h="16840"/>
          <w:pgMar w:top="1580" w:bottom="280" w:left="1460" w:right="580"/>
        </w:sectPr>
      </w:pPr>
    </w:p>
    <w:p>
      <w:pPr>
        <w:tabs>
          <w:tab w:pos="1079" w:val="left" w:leader="none"/>
        </w:tabs>
        <w:spacing w:before="104"/>
        <w:ind w:left="0" w:right="881" w:firstLine="0"/>
        <w:jc w:val="center"/>
        <w:rPr>
          <w:b/>
          <w:sz w:val="36"/>
        </w:rPr>
      </w:pPr>
      <w:r>
        <w:rPr>
          <w:b/>
          <w:sz w:val="36"/>
        </w:rPr>
        <w:t>目</w:t>
        <w:tab/>
        <w:t>录</w:t>
      </w:r>
    </w:p>
    <w:sdt>
      <w:sdtPr>
        <w:docPartObj>
          <w:docPartGallery w:val="Table of Contents"/>
          <w:docPartUnique/>
        </w:docPartObj>
      </w:sdtPr>
      <w:sdtEndPr/>
      <w:sdtContent>
        <w:p>
          <w:pPr>
            <w:pStyle w:val="TOC1"/>
            <w:numPr>
              <w:ilvl w:val="0"/>
              <w:numId w:val="1"/>
            </w:numPr>
            <w:tabs>
              <w:tab w:pos="240" w:val="left" w:leader="none"/>
              <w:tab w:pos="7963" w:val="left" w:leader="dot"/>
            </w:tabs>
            <w:spacing w:line="240" w:lineRule="auto" w:before="177" w:after="0"/>
            <w:ind w:left="901" w:right="1119" w:hanging="902"/>
            <w:jc w:val="right"/>
            <w:rPr>
              <w:rFonts w:ascii="Times New Roman" w:eastAsia="Times New Roman"/>
            </w:rPr>
          </w:pPr>
          <w:hyperlink w:history="true" w:anchor="_bookmark0">
            <w:r>
              <w:rPr/>
              <w:t>概述</w:t>
              <w:tab/>
            </w:r>
            <w:r>
              <w:rPr>
                <w:rFonts w:ascii="Times New Roman" w:eastAsia="Times New Roman"/>
              </w:rPr>
              <w:t>1</w:t>
            </w:r>
          </w:hyperlink>
        </w:p>
        <w:p>
          <w:pPr>
            <w:pStyle w:val="TOC1"/>
            <w:numPr>
              <w:ilvl w:val="0"/>
              <w:numId w:val="1"/>
            </w:numPr>
            <w:tabs>
              <w:tab w:pos="240" w:val="left" w:leader="none"/>
              <w:tab w:pos="7963" w:val="left" w:leader="dot"/>
            </w:tabs>
            <w:spacing w:line="240" w:lineRule="auto" w:before="94" w:after="0"/>
            <w:ind w:left="901" w:right="1119" w:hanging="902"/>
            <w:jc w:val="right"/>
            <w:rPr>
              <w:rFonts w:ascii="Times New Roman" w:eastAsia="Times New Roman"/>
            </w:rPr>
          </w:pPr>
          <w:hyperlink w:history="true" w:anchor="_bookmark1">
            <w:r>
              <w:rPr/>
              <w:t>首次环境影响评价信息公开</w:t>
              <w:tab/>
            </w:r>
            <w:r>
              <w:rPr>
                <w:rFonts w:ascii="Times New Roman" w:eastAsia="Times New Roman"/>
              </w:rPr>
              <w:t>2</w:t>
            </w:r>
          </w:hyperlink>
        </w:p>
        <w:p>
          <w:pPr>
            <w:pStyle w:val="TOC2"/>
            <w:numPr>
              <w:ilvl w:val="1"/>
              <w:numId w:val="1"/>
            </w:numPr>
            <w:tabs>
              <w:tab w:pos="368" w:val="left" w:leader="none"/>
              <w:tab w:pos="7557" w:val="left" w:leader="dot"/>
            </w:tabs>
            <w:spacing w:line="240" w:lineRule="auto" w:before="32" w:after="0"/>
            <w:ind w:left="1448" w:right="1120" w:hanging="1449"/>
            <w:jc w:val="right"/>
            <w:rPr>
              <w:rFonts w:ascii="Times New Roman" w:eastAsia="Times New Roman"/>
            </w:rPr>
          </w:pPr>
          <w:hyperlink w:history="true" w:anchor="_bookmark2">
            <w:r>
              <w:rPr/>
              <w:t>公开内容及日期</w:t>
              <w:tab/>
            </w:r>
            <w:r>
              <w:rPr>
                <w:rFonts w:ascii="Times New Roman" w:eastAsia="Times New Roman"/>
                <w:w w:val="95"/>
              </w:rPr>
              <w:t>2</w:t>
            </w:r>
          </w:hyperlink>
        </w:p>
        <w:p>
          <w:pPr>
            <w:pStyle w:val="TOC2"/>
            <w:numPr>
              <w:ilvl w:val="1"/>
              <w:numId w:val="1"/>
            </w:numPr>
            <w:tabs>
              <w:tab w:pos="368" w:val="left" w:leader="none"/>
              <w:tab w:pos="7557" w:val="left" w:leader="dot"/>
            </w:tabs>
            <w:spacing w:line="240" w:lineRule="auto" w:before="43" w:after="0"/>
            <w:ind w:left="1448" w:right="1120" w:hanging="1449"/>
            <w:jc w:val="right"/>
            <w:rPr>
              <w:rFonts w:ascii="Times New Roman" w:eastAsia="Times New Roman"/>
            </w:rPr>
          </w:pPr>
          <w:hyperlink w:history="true" w:anchor="_bookmark3">
            <w:r>
              <w:rPr/>
              <w:t>公开方式</w:t>
              <w:tab/>
            </w:r>
            <w:r>
              <w:rPr>
                <w:rFonts w:ascii="Times New Roman" w:eastAsia="Times New Roman"/>
                <w:w w:val="95"/>
              </w:rPr>
              <w:t>3</w:t>
            </w:r>
          </w:hyperlink>
        </w:p>
        <w:p>
          <w:pPr>
            <w:pStyle w:val="TOC2"/>
            <w:numPr>
              <w:ilvl w:val="1"/>
              <w:numId w:val="1"/>
            </w:numPr>
            <w:tabs>
              <w:tab w:pos="315" w:val="left" w:leader="none"/>
              <w:tab w:pos="7557" w:val="left" w:leader="dot"/>
            </w:tabs>
            <w:spacing w:line="240" w:lineRule="auto" w:before="43" w:after="0"/>
            <w:ind w:left="1396" w:right="1120" w:hanging="1396"/>
            <w:jc w:val="right"/>
            <w:rPr>
              <w:rFonts w:ascii="Times New Roman" w:eastAsia="Times New Roman"/>
            </w:rPr>
          </w:pPr>
          <w:hyperlink w:history="true" w:anchor="_bookmark4">
            <w:r>
              <w:rPr/>
              <w:t>公众意见情况</w:t>
              <w:tab/>
            </w:r>
            <w:r>
              <w:rPr>
                <w:rFonts w:ascii="Times New Roman" w:eastAsia="Times New Roman"/>
                <w:w w:val="95"/>
              </w:rPr>
              <w:t>4</w:t>
            </w:r>
          </w:hyperlink>
        </w:p>
        <w:p>
          <w:pPr>
            <w:pStyle w:val="TOC1"/>
            <w:numPr>
              <w:ilvl w:val="0"/>
              <w:numId w:val="1"/>
            </w:numPr>
            <w:tabs>
              <w:tab w:pos="240" w:val="left" w:leader="none"/>
              <w:tab w:pos="7963" w:val="left" w:leader="dot"/>
            </w:tabs>
            <w:spacing w:line="240" w:lineRule="auto" w:before="104" w:after="0"/>
            <w:ind w:left="901" w:right="1119" w:hanging="902"/>
            <w:jc w:val="right"/>
            <w:rPr>
              <w:rFonts w:ascii="Times New Roman" w:eastAsia="Times New Roman"/>
            </w:rPr>
          </w:pPr>
          <w:hyperlink w:history="true" w:anchor="_bookmark5">
            <w:r>
              <w:rPr/>
              <w:t>征求意见稿公示情况</w:t>
              <w:tab/>
            </w:r>
            <w:r>
              <w:rPr>
                <w:rFonts w:ascii="Times New Roman" w:eastAsia="Times New Roman"/>
              </w:rPr>
              <w:t>5</w:t>
            </w:r>
          </w:hyperlink>
        </w:p>
        <w:p>
          <w:pPr>
            <w:pStyle w:val="TOC2"/>
            <w:numPr>
              <w:ilvl w:val="1"/>
              <w:numId w:val="1"/>
            </w:numPr>
            <w:tabs>
              <w:tab w:pos="315" w:val="left" w:leader="none"/>
              <w:tab w:pos="7557" w:val="left" w:leader="dot"/>
            </w:tabs>
            <w:spacing w:line="240" w:lineRule="auto" w:before="32" w:after="0"/>
            <w:ind w:left="1396" w:right="1120" w:hanging="1396"/>
            <w:jc w:val="right"/>
            <w:rPr>
              <w:rFonts w:ascii="Times New Roman" w:eastAsia="Times New Roman"/>
            </w:rPr>
          </w:pPr>
          <w:hyperlink w:history="true" w:anchor="_bookmark6">
            <w:r>
              <w:rPr/>
              <w:t>公示内容及时限</w:t>
              <w:tab/>
            </w:r>
            <w:r>
              <w:rPr>
                <w:rFonts w:ascii="Times New Roman" w:eastAsia="Times New Roman"/>
                <w:w w:val="95"/>
              </w:rPr>
              <w:t>5</w:t>
            </w:r>
          </w:hyperlink>
        </w:p>
        <w:p>
          <w:pPr>
            <w:pStyle w:val="TOC4"/>
            <w:numPr>
              <w:ilvl w:val="1"/>
              <w:numId w:val="1"/>
            </w:numPr>
            <w:tabs>
              <w:tab w:pos="1449" w:val="left" w:leader="none"/>
              <w:tab w:pos="8639" w:val="left" w:leader="dot"/>
            </w:tabs>
            <w:spacing w:line="240" w:lineRule="auto" w:before="43" w:after="0"/>
            <w:ind w:left="1448" w:right="0" w:hanging="368"/>
            <w:jc w:val="left"/>
            <w:rPr>
              <w:rFonts w:ascii="Times New Roman" w:eastAsia="Times New Roman"/>
            </w:rPr>
          </w:pPr>
          <w:hyperlink w:history="true" w:anchor="_bookmark7">
            <w:r>
              <w:rPr/>
              <w:t>公开方式</w:t>
              <w:tab/>
            </w:r>
            <w:r>
              <w:rPr>
                <w:rFonts w:ascii="Times New Roman" w:eastAsia="Times New Roman"/>
              </w:rPr>
              <w:t>6</w:t>
            </w:r>
          </w:hyperlink>
        </w:p>
        <w:p>
          <w:pPr>
            <w:pStyle w:val="TOC4"/>
            <w:numPr>
              <w:ilvl w:val="1"/>
              <w:numId w:val="1"/>
            </w:numPr>
            <w:tabs>
              <w:tab w:pos="1449" w:val="left" w:leader="none"/>
              <w:tab w:pos="8535" w:val="left" w:leader="dot"/>
            </w:tabs>
            <w:spacing w:line="240" w:lineRule="auto" w:before="43" w:after="0"/>
            <w:ind w:left="1448" w:right="0" w:hanging="368"/>
            <w:jc w:val="left"/>
            <w:rPr>
              <w:rFonts w:ascii="Times New Roman" w:eastAsia="Times New Roman"/>
            </w:rPr>
          </w:pPr>
          <w:hyperlink w:history="true" w:anchor="_bookmark8">
            <w:r>
              <w:rPr/>
              <w:t>查阅情况</w:t>
              <w:tab/>
            </w:r>
            <w:r>
              <w:rPr>
                <w:rFonts w:ascii="Times New Roman" w:eastAsia="Times New Roman"/>
              </w:rPr>
              <w:t>18</w:t>
            </w:r>
          </w:hyperlink>
        </w:p>
        <w:p>
          <w:pPr>
            <w:pStyle w:val="TOC2"/>
            <w:numPr>
              <w:ilvl w:val="1"/>
              <w:numId w:val="1"/>
            </w:numPr>
            <w:tabs>
              <w:tab w:pos="368" w:val="left" w:leader="none"/>
              <w:tab w:pos="7454" w:val="left" w:leader="dot"/>
            </w:tabs>
            <w:spacing w:line="240" w:lineRule="auto" w:before="43" w:after="0"/>
            <w:ind w:left="1448" w:right="1117" w:hanging="1449"/>
            <w:jc w:val="right"/>
            <w:rPr>
              <w:rFonts w:ascii="Times New Roman" w:eastAsia="Times New Roman"/>
            </w:rPr>
          </w:pPr>
          <w:hyperlink w:history="true" w:anchor="_bookmark9">
            <w:r>
              <w:rPr/>
              <w:t>公众提出意见情况</w:t>
              <w:tab/>
            </w:r>
            <w:r>
              <w:rPr>
                <w:rFonts w:ascii="Times New Roman" w:eastAsia="Times New Roman"/>
                <w:w w:val="95"/>
              </w:rPr>
              <w:t>18</w:t>
            </w:r>
          </w:hyperlink>
        </w:p>
        <w:p>
          <w:pPr>
            <w:pStyle w:val="TOC1"/>
            <w:numPr>
              <w:ilvl w:val="0"/>
              <w:numId w:val="1"/>
            </w:numPr>
            <w:tabs>
              <w:tab w:pos="240" w:val="left" w:leader="none"/>
              <w:tab w:pos="7843" w:val="left" w:leader="dot"/>
            </w:tabs>
            <w:spacing w:line="240" w:lineRule="auto" w:before="102" w:after="0"/>
            <w:ind w:left="901" w:right="1119" w:hanging="902"/>
            <w:jc w:val="right"/>
            <w:rPr>
              <w:rFonts w:ascii="Times New Roman" w:eastAsia="Times New Roman"/>
            </w:rPr>
          </w:pPr>
          <w:hyperlink w:history="true" w:anchor="_bookmark10">
            <w:r>
              <w:rPr/>
              <w:t>其他公众参与情况</w:t>
              <w:tab/>
            </w:r>
            <w:r>
              <w:rPr>
                <w:rFonts w:ascii="Times New Roman" w:eastAsia="Times New Roman"/>
              </w:rPr>
              <w:t>18</w:t>
            </w:r>
          </w:hyperlink>
        </w:p>
        <w:p>
          <w:pPr>
            <w:pStyle w:val="TOC1"/>
            <w:numPr>
              <w:ilvl w:val="0"/>
              <w:numId w:val="1"/>
            </w:numPr>
            <w:tabs>
              <w:tab w:pos="180" w:val="left" w:leader="none"/>
              <w:tab w:pos="7843" w:val="left" w:leader="dot"/>
            </w:tabs>
            <w:spacing w:line="240" w:lineRule="auto" w:before="93" w:after="0"/>
            <w:ind w:left="841" w:right="1119" w:hanging="842"/>
            <w:jc w:val="right"/>
            <w:rPr>
              <w:rFonts w:ascii="Times New Roman" w:eastAsia="Times New Roman"/>
            </w:rPr>
          </w:pPr>
          <w:hyperlink w:history="true" w:anchor="_bookmark11">
            <w:r>
              <w:rPr/>
              <w:t>公众意见处理情况</w:t>
              <w:tab/>
            </w:r>
            <w:r>
              <w:rPr>
                <w:rFonts w:ascii="Times New Roman" w:eastAsia="Times New Roman"/>
              </w:rPr>
              <w:t>18</w:t>
            </w:r>
          </w:hyperlink>
        </w:p>
        <w:p>
          <w:pPr>
            <w:pStyle w:val="TOC3"/>
            <w:tabs>
              <w:tab w:pos="8504" w:val="left" w:leader="dot"/>
            </w:tabs>
            <w:spacing w:before="93"/>
          </w:pPr>
          <w:hyperlink w:history="true" w:anchor="_bookmark12">
            <w:r>
              <w:rPr/>
              <w:t>6  </w:t>
            </w:r>
            <w:r>
              <w:rPr>
                <w:rFonts w:ascii="宋体" w:eastAsia="宋体" w:hint="eastAsia"/>
              </w:rPr>
              <w:t>其他</w:t>
              <w:tab/>
            </w:r>
            <w:r>
              <w:rPr/>
              <w:t>19</w:t>
            </w:r>
          </w:hyperlink>
        </w:p>
        <w:p>
          <w:pPr>
            <w:pStyle w:val="TOC3"/>
            <w:tabs>
              <w:tab w:pos="8504" w:val="left" w:leader="dot"/>
            </w:tabs>
          </w:pPr>
          <w:hyperlink w:history="true" w:anchor="_bookmark13">
            <w:r>
              <w:rPr/>
              <w:t>7  </w:t>
            </w:r>
            <w:r>
              <w:rPr>
                <w:rFonts w:ascii="宋体" w:eastAsia="宋体" w:hint="eastAsia"/>
              </w:rPr>
              <w:t>诚信承诺</w:t>
              <w:tab/>
            </w:r>
            <w:r>
              <w:rPr/>
              <w:t>19</w:t>
            </w:r>
          </w:hyperlink>
        </w:p>
      </w:sdtContent>
    </w:sdt>
    <w:p>
      <w:pPr>
        <w:spacing w:after="0"/>
        <w:sectPr>
          <w:pgSz w:w="11910" w:h="16840"/>
          <w:pgMar w:top="1580" w:bottom="280" w:left="1460" w:right="580"/>
        </w:sectPr>
      </w:pPr>
    </w:p>
    <w:p>
      <w:pPr>
        <w:pStyle w:val="BodyText"/>
        <w:spacing w:before="4"/>
        <w:rPr>
          <w:rFonts w:ascii="Times New Roman"/>
          <w:sz w:val="27"/>
        </w:rPr>
      </w:pPr>
    </w:p>
    <w:p>
      <w:pPr>
        <w:pStyle w:val="Heading1"/>
        <w:numPr>
          <w:ilvl w:val="0"/>
          <w:numId w:val="2"/>
        </w:numPr>
        <w:tabs>
          <w:tab w:pos="561" w:val="left" w:leader="none"/>
        </w:tabs>
        <w:spacing w:line="240" w:lineRule="auto" w:before="0" w:after="0"/>
        <w:ind w:left="560" w:right="0" w:hanging="320"/>
        <w:jc w:val="left"/>
      </w:pPr>
      <w:bookmarkStart w:name="1 概述" w:id="1"/>
      <w:bookmarkEnd w:id="1"/>
      <w:r>
        <w:rPr/>
      </w:r>
      <w:bookmarkStart w:name="_bookmark0" w:id="2"/>
      <w:bookmarkEnd w:id="2"/>
      <w:r>
        <w:rPr/>
      </w:r>
      <w:bookmarkStart w:name="_bookmark0" w:id="3"/>
      <w:bookmarkEnd w:id="3"/>
      <w:r>
        <w:rPr/>
        <w:t>概述</w:t>
      </w:r>
    </w:p>
    <w:p>
      <w:pPr>
        <w:pStyle w:val="BodyText"/>
        <w:spacing w:line="364" w:lineRule="auto" w:before="213"/>
        <w:ind w:left="241" w:right="1119" w:firstLine="480"/>
        <w:jc w:val="both"/>
      </w:pPr>
      <w:r>
        <w:rPr/>
        <w:t>双鸭山新自矿业有限责任公司（原双鸭山双兴时代矿业有限责任公司一井） 位于双鸭山市西南长胜乡东兴村附近，行政区划隶属双鸭山市岭东区管辖</w:t>
      </w:r>
      <w:r>
        <w:rPr>
          <w:rFonts w:ascii="Times New Roman" w:hAnsi="Times New Roman" w:eastAsia="Times New Roman"/>
        </w:rPr>
        <w:t>,</w:t>
      </w:r>
      <w:r>
        <w:rPr/>
        <w:t>地理坐标位于东经 </w:t>
      </w:r>
      <w:r>
        <w:rPr>
          <w:rFonts w:ascii="Times New Roman" w:hAnsi="Times New Roman" w:eastAsia="Times New Roman"/>
        </w:rPr>
        <w:t>131°03′</w:t>
      </w:r>
      <w:r>
        <w:rPr/>
        <w:t>～</w:t>
      </w:r>
      <w:r>
        <w:rPr>
          <w:rFonts w:ascii="Times New Roman" w:hAnsi="Times New Roman" w:eastAsia="Times New Roman"/>
        </w:rPr>
        <w:t>131°45′</w:t>
      </w:r>
      <w:r>
        <w:rPr/>
        <w:t>；北纬 </w:t>
      </w:r>
      <w:r>
        <w:rPr>
          <w:rFonts w:ascii="Times New Roman" w:hAnsi="Times New Roman" w:eastAsia="Times New Roman"/>
        </w:rPr>
        <w:t>46°22′</w:t>
      </w:r>
      <w:r>
        <w:rPr/>
        <w:t>～</w:t>
      </w:r>
      <w:r>
        <w:rPr>
          <w:rFonts w:ascii="Times New Roman" w:hAnsi="Times New Roman" w:eastAsia="Times New Roman"/>
        </w:rPr>
        <w:t>46°43′</w:t>
      </w:r>
      <w:r>
        <w:rPr/>
        <w:t>。</w:t>
      </w:r>
    </w:p>
    <w:p>
      <w:pPr>
        <w:pStyle w:val="BodyText"/>
        <w:spacing w:line="364" w:lineRule="auto"/>
        <w:ind w:left="241" w:right="1119" w:firstLine="480"/>
        <w:jc w:val="both"/>
        <w:rPr>
          <w:rFonts w:ascii="Times New Roman" w:eastAsia="Times New Roman"/>
        </w:rPr>
      </w:pPr>
      <w:r>
        <w:rPr/>
        <w:t>双鸭山新自矿业有限责任公司（原双鸭山双兴时代矿业有限责任公司一井） </w:t>
      </w:r>
      <w:r>
        <w:rPr>
          <w:spacing w:val="-15"/>
        </w:rPr>
        <w:t>始建于 </w:t>
      </w:r>
      <w:r>
        <w:rPr>
          <w:rFonts w:ascii="Times New Roman" w:eastAsia="Times New Roman"/>
        </w:rPr>
        <w:t>1986 </w:t>
      </w:r>
      <w:r>
        <w:rPr>
          <w:spacing w:val="-4"/>
        </w:rPr>
        <w:t>年，原名东兴煤井，原设计能力为 </w:t>
      </w:r>
      <w:r>
        <w:rPr>
          <w:rFonts w:ascii="Times New Roman" w:eastAsia="Times New Roman"/>
        </w:rPr>
        <w:t>9 </w:t>
      </w:r>
      <w:r>
        <w:rPr/>
        <w:t>万吨</w:t>
      </w:r>
      <w:r>
        <w:rPr>
          <w:rFonts w:ascii="Times New Roman" w:eastAsia="Times New Roman"/>
        </w:rPr>
        <w:t>/</w:t>
      </w:r>
      <w:r>
        <w:rPr>
          <w:spacing w:val="-8"/>
        </w:rPr>
        <w:t>年，批准开采 </w:t>
      </w:r>
      <w:r>
        <w:rPr>
          <w:rFonts w:ascii="Times New Roman" w:eastAsia="Times New Roman"/>
        </w:rPr>
        <w:t>10</w:t>
      </w:r>
      <w:r>
        <w:rPr/>
        <w:t>、</w:t>
      </w:r>
      <w:r>
        <w:rPr>
          <w:rFonts w:ascii="Times New Roman" w:eastAsia="Times New Roman"/>
        </w:rPr>
        <w:t>20 </w:t>
      </w:r>
      <w:r>
        <w:rPr>
          <w:spacing w:val="-6"/>
        </w:rPr>
        <w:t>号两</w:t>
      </w:r>
      <w:r>
        <w:rPr/>
        <w:t>个煤层。矿井采用斜井片盘开拓方式，走向长壁后退式采煤方法，顶板管理采用</w:t>
      </w:r>
      <w:r>
        <w:rPr>
          <w:spacing w:val="-5"/>
        </w:rPr>
        <w:t>全部陷落法。目前主井斜长 </w:t>
      </w:r>
      <w:r>
        <w:rPr>
          <w:rFonts w:ascii="Times New Roman" w:eastAsia="Times New Roman"/>
        </w:rPr>
        <w:t>1100 </w:t>
      </w:r>
      <w:r>
        <w:rPr/>
        <w:t>余米，开采最低标高已达</w:t>
      </w:r>
      <w:r>
        <w:rPr>
          <w:rFonts w:ascii="Times New Roman" w:eastAsia="Times New Roman"/>
        </w:rPr>
        <w:t>-300m </w:t>
      </w:r>
      <w:r>
        <w:rPr/>
        <w:t>标高。</w:t>
      </w:r>
      <w:r>
        <w:rPr>
          <w:rFonts w:ascii="Times New Roman" w:eastAsia="Times New Roman"/>
        </w:rPr>
        <w:t>2020 </w:t>
      </w:r>
      <w:r>
        <w:rPr>
          <w:spacing w:val="-31"/>
        </w:rPr>
        <w:t>年 </w:t>
      </w:r>
      <w:r>
        <w:rPr>
          <w:rFonts w:ascii="Times New Roman" w:eastAsia="Times New Roman"/>
        </w:rPr>
        <w:t>1</w:t>
      </w:r>
    </w:p>
    <w:p>
      <w:pPr>
        <w:pStyle w:val="BodyText"/>
        <w:spacing w:line="364" w:lineRule="auto"/>
        <w:ind w:left="241" w:right="1119"/>
        <w:jc w:val="both"/>
      </w:pPr>
      <w:r>
        <w:rPr>
          <w:spacing w:val="-30"/>
        </w:rPr>
        <w:t>月 </w:t>
      </w:r>
      <w:r>
        <w:rPr>
          <w:rFonts w:ascii="Times New Roman" w:eastAsia="Times New Roman"/>
        </w:rPr>
        <w:t>14 </w:t>
      </w:r>
      <w:r>
        <w:rPr>
          <w:spacing w:val="-5"/>
        </w:rPr>
        <w:t>日，本矿业营业执照由双鸭山市双兴时代矿业有限责任公司一井变更为双鸭</w:t>
      </w:r>
      <w:r>
        <w:rPr/>
        <w:t>山新自矿业有限责任公司，采矿许可证矿山名称由双鸭山市双兴时代矿业有限责任公司一井变更为双鸭山新自矿业有限责任公司，现已停产。</w:t>
      </w:r>
    </w:p>
    <w:p>
      <w:pPr>
        <w:pStyle w:val="BodyText"/>
        <w:spacing w:line="364" w:lineRule="auto"/>
        <w:ind w:left="241" w:right="1116" w:firstLine="480"/>
        <w:jc w:val="both"/>
      </w:pPr>
      <w:r>
        <w:rPr>
          <w:spacing w:val="-6"/>
        </w:rPr>
        <w:t>依据《黑龙江省人民政府关于印发</w:t>
      </w:r>
      <w:r>
        <w:rPr>
          <w:rFonts w:ascii="Times New Roman" w:eastAsia="Times New Roman"/>
        </w:rPr>
        <w:t>&lt;</w:t>
      </w:r>
      <w:r>
        <w:rPr>
          <w:spacing w:val="-1"/>
        </w:rPr>
        <w:t>黑龙江省煤炭行业淘汰落后产能化解过剩</w:t>
      </w:r>
      <w:r>
        <w:rPr/>
        <w:t>产能专项整治工作方案</w:t>
      </w:r>
      <w:r>
        <w:rPr>
          <w:rFonts w:ascii="Times New Roman" w:eastAsia="Times New Roman"/>
        </w:rPr>
        <w:t>&gt;</w:t>
      </w:r>
      <w:r>
        <w:rPr>
          <w:spacing w:val="-9"/>
        </w:rPr>
        <w:t>的通知》</w:t>
      </w:r>
      <w:r>
        <w:rPr/>
        <w:t>（</w:t>
      </w:r>
      <w:r>
        <w:rPr>
          <w:spacing w:val="-5"/>
        </w:rPr>
        <w:t>黑政规〔</w:t>
      </w:r>
      <w:r>
        <w:rPr>
          <w:rFonts w:ascii="Times New Roman" w:eastAsia="Times New Roman"/>
        </w:rPr>
        <w:t>2018</w:t>
      </w:r>
      <w:r>
        <w:rPr>
          <w:spacing w:val="-20"/>
        </w:rPr>
        <w:t>〕</w:t>
      </w:r>
      <w:r>
        <w:rPr>
          <w:rFonts w:ascii="Times New Roman" w:eastAsia="Times New Roman"/>
        </w:rPr>
        <w:t>13 </w:t>
      </w:r>
      <w:r>
        <w:rPr/>
        <w:t>号</w:t>
      </w:r>
      <w:r>
        <w:rPr>
          <w:spacing w:val="-20"/>
        </w:rPr>
        <w:t>）</w:t>
      </w:r>
      <w:r>
        <w:rPr>
          <w:spacing w:val="-2"/>
        </w:rPr>
        <w:t>文件及双鸭山市煤炭生</w:t>
      </w:r>
      <w:r>
        <w:rPr/>
        <w:t>产安全管理局《双鸭山市煤炭生产安全管理局关于组织上报淘汰落后产能化解过</w:t>
      </w:r>
      <w:r>
        <w:rPr>
          <w:spacing w:val="-3"/>
        </w:rPr>
        <w:t>剩产能保留煤矿项目方案的通知》</w:t>
      </w:r>
      <w:r>
        <w:rPr/>
        <w:t>（</w:t>
      </w:r>
      <w:r>
        <w:rPr>
          <w:spacing w:val="-5"/>
        </w:rPr>
        <w:t>双煤发〔</w:t>
      </w:r>
      <w:r>
        <w:rPr>
          <w:rFonts w:ascii="Times New Roman" w:eastAsia="Times New Roman"/>
        </w:rPr>
        <w:t>2018</w:t>
      </w:r>
      <w:r>
        <w:rPr>
          <w:spacing w:val="-15"/>
        </w:rPr>
        <w:t>〕</w:t>
      </w:r>
      <w:r>
        <w:rPr>
          <w:rFonts w:ascii="Times New Roman" w:eastAsia="Times New Roman"/>
        </w:rPr>
        <w:t>124 </w:t>
      </w:r>
      <w:r>
        <w:rPr/>
        <w:t>号</w:t>
      </w:r>
      <w:r>
        <w:rPr>
          <w:spacing w:val="-17"/>
        </w:rPr>
        <w:t>）</w:t>
      </w:r>
      <w:r>
        <w:rPr>
          <w:spacing w:val="-2"/>
        </w:rPr>
        <w:t>等有关文件的指导精</w:t>
      </w:r>
      <w:r>
        <w:rPr>
          <w:spacing w:val="-10"/>
        </w:rPr>
        <w:t>神，双鸭山新自矿业有限责任公司拟单井升级改造至 </w:t>
      </w:r>
      <w:r>
        <w:rPr>
          <w:rFonts w:ascii="Times New Roman" w:eastAsia="Times New Roman"/>
        </w:rPr>
        <w:t>30 </w:t>
      </w:r>
      <w:r>
        <w:rPr/>
        <w:t>万吨</w:t>
      </w:r>
      <w:r>
        <w:rPr>
          <w:rFonts w:ascii="Times New Roman" w:eastAsia="Times New Roman"/>
        </w:rPr>
        <w:t>/</w:t>
      </w:r>
      <w:r>
        <w:rPr>
          <w:spacing w:val="-8"/>
        </w:rPr>
        <w:t>年生产规模，本矿业</w:t>
      </w:r>
    </w:p>
    <w:p>
      <w:pPr>
        <w:pStyle w:val="BodyText"/>
        <w:spacing w:line="362" w:lineRule="auto"/>
        <w:ind w:left="241" w:right="1116"/>
        <w:jc w:val="both"/>
      </w:pPr>
      <w:r>
        <w:rPr/>
        <w:t>升级改造方案经省</w:t>
      </w:r>
      <w:r>
        <w:rPr>
          <w:rFonts w:ascii="Times New Roman" w:hAnsi="Times New Roman" w:eastAsia="Times New Roman"/>
        </w:rPr>
        <w:t>“</w:t>
      </w:r>
      <w:r>
        <w:rPr/>
        <w:t>淘化</w:t>
      </w:r>
      <w:r>
        <w:rPr>
          <w:rFonts w:ascii="Times New Roman" w:hAnsi="Times New Roman" w:eastAsia="Times New Roman"/>
        </w:rPr>
        <w:t>”</w:t>
      </w:r>
      <w:r>
        <w:rPr>
          <w:spacing w:val="-15"/>
        </w:rPr>
        <w:t>小组办公室审查后，以《关于全省 </w:t>
      </w:r>
      <w:r>
        <w:rPr>
          <w:rFonts w:ascii="Times New Roman" w:hAnsi="Times New Roman" w:eastAsia="Times New Roman"/>
        </w:rPr>
        <w:t>167 </w:t>
      </w:r>
      <w:r>
        <w:rPr>
          <w:spacing w:val="-2"/>
        </w:rPr>
        <w:t>处煤矿进入规划升</w:t>
      </w:r>
      <w:r>
        <w:rPr/>
        <w:t>级改造核准程序名单的批复》</w:t>
      </w:r>
      <w:r>
        <w:rPr>
          <w:rFonts w:ascii="Times New Roman" w:hAnsi="Times New Roman" w:eastAsia="Times New Roman"/>
        </w:rPr>
        <w:t>(</w:t>
      </w:r>
      <w:r>
        <w:rPr/>
        <w:t>黑煤整治办</w:t>
      </w:r>
      <w:r>
        <w:rPr>
          <w:rFonts w:ascii="Times New Roman" w:hAnsi="Times New Roman" w:eastAsia="Times New Roman"/>
        </w:rPr>
        <w:t>(2020)7 </w:t>
      </w:r>
      <w:r>
        <w:rPr/>
        <w:t>号</w:t>
      </w:r>
      <w:r>
        <w:rPr>
          <w:rFonts w:ascii="Times New Roman" w:hAnsi="Times New Roman" w:eastAsia="Times New Roman"/>
        </w:rPr>
        <w:t>)</w:t>
      </w:r>
      <w:r>
        <w:rPr/>
        <w:t>批复同意该项目进入核准程序。</w:t>
      </w:r>
    </w:p>
    <w:p>
      <w:pPr>
        <w:pStyle w:val="BodyText"/>
        <w:spacing w:line="364" w:lineRule="auto"/>
        <w:ind w:left="241" w:right="1119" w:firstLine="480"/>
        <w:jc w:val="both"/>
      </w:pPr>
      <w:r>
        <w:rPr/>
        <w:t>双鸭山新自矿业有限责任公司（原双鸭山双兴时代矿业有限责任公司一井） </w:t>
      </w:r>
      <w:r>
        <w:rPr>
          <w:spacing w:val="-9"/>
        </w:rPr>
        <w:t>建设规模为 </w:t>
      </w:r>
      <w:r>
        <w:rPr>
          <w:rFonts w:ascii="Times New Roman" w:eastAsia="Times New Roman"/>
        </w:rPr>
        <w:t>30 </w:t>
      </w:r>
      <w:r>
        <w:rPr>
          <w:spacing w:val="2"/>
        </w:rPr>
        <w:t>万吨</w:t>
      </w:r>
      <w:r>
        <w:rPr>
          <w:rFonts w:ascii="Times New Roman" w:eastAsia="Times New Roman"/>
        </w:rPr>
        <w:t>/</w:t>
      </w:r>
      <w:r>
        <w:rPr>
          <w:spacing w:val="-4"/>
        </w:rPr>
        <w:t>年，该矿井设计可采储量为 </w:t>
      </w:r>
      <w:r>
        <w:rPr>
          <w:rFonts w:ascii="Times New Roman" w:eastAsia="Times New Roman"/>
        </w:rPr>
        <w:t>616.85 </w:t>
      </w:r>
      <w:r>
        <w:rPr/>
        <w:t>万吨，该矿井服务年限为</w:t>
      </w:r>
    </w:p>
    <w:p>
      <w:pPr>
        <w:pStyle w:val="BodyText"/>
        <w:spacing w:line="364" w:lineRule="auto"/>
        <w:ind w:left="241" w:right="999"/>
      </w:pPr>
      <w:r>
        <w:rPr>
          <w:rFonts w:ascii="Times New Roman" w:eastAsia="Times New Roman"/>
        </w:rPr>
        <w:t>14.7a</w:t>
      </w:r>
      <w:r>
        <w:rPr>
          <w:spacing w:val="-10"/>
        </w:rPr>
        <w:t>。矿井采用斜井开拓方式，矿井改扩建完成后，直通地面的井筒共布置 </w:t>
      </w:r>
      <w:r>
        <w:rPr>
          <w:rFonts w:ascii="Times New Roman" w:eastAsia="Times New Roman"/>
        </w:rPr>
        <w:t>3 </w:t>
      </w:r>
      <w:r>
        <w:rPr>
          <w:spacing w:val="-8"/>
        </w:rPr>
        <w:t>条， </w:t>
      </w:r>
      <w:r>
        <w:rPr>
          <w:spacing w:val="-4"/>
        </w:rPr>
        <w:t>分别为主井、副井和风井，全矿井划分为一个水平，标高为</w:t>
      </w:r>
      <w:r>
        <w:rPr>
          <w:rFonts w:ascii="Times New Roman" w:eastAsia="Times New Roman"/>
        </w:rPr>
        <w:t>-160m</w:t>
      </w:r>
      <w:r>
        <w:rPr/>
        <w:t>，全矿井共划分</w:t>
      </w:r>
      <w:r>
        <w:rPr>
          <w:spacing w:val="-5"/>
        </w:rPr>
        <w:t>四个采区。本工程建设总资金 </w:t>
      </w:r>
      <w:r>
        <w:rPr>
          <w:rFonts w:ascii="Times New Roman" w:eastAsia="Times New Roman"/>
        </w:rPr>
        <w:t>7370.38 </w:t>
      </w:r>
      <w:r>
        <w:rPr/>
        <w:t>万元。</w:t>
      </w:r>
    </w:p>
    <w:p>
      <w:pPr>
        <w:pStyle w:val="BodyText"/>
        <w:spacing w:line="364" w:lineRule="auto"/>
        <w:ind w:left="241" w:right="999" w:firstLine="480"/>
      </w:pPr>
      <w:r>
        <w:rPr/>
        <w:t>该项目委托黑龙江科大欣欣环保科技有限公司进行环境影响评价工作，并按 </w:t>
      </w:r>
      <w:r>
        <w:rPr>
          <w:spacing w:val="-8"/>
        </w:rPr>
        <w:t>照《环境影响评价公众参与办法》</w:t>
      </w:r>
      <w:r>
        <w:rPr/>
        <w:t>（</w:t>
      </w:r>
      <w:r>
        <w:rPr>
          <w:spacing w:val="-7"/>
        </w:rPr>
        <w:t>生态环境部部令第 </w:t>
      </w:r>
      <w:r>
        <w:rPr>
          <w:rFonts w:ascii="Times New Roman" w:eastAsia="Times New Roman"/>
        </w:rPr>
        <w:t>4 </w:t>
      </w:r>
      <w:r>
        <w:rPr/>
        <w:t>号</w:t>
      </w:r>
      <w:r>
        <w:rPr>
          <w:spacing w:val="-24"/>
        </w:rPr>
        <w:t>）（</w:t>
      </w:r>
      <w:r>
        <w:rPr>
          <w:spacing w:val="-20"/>
        </w:rPr>
        <w:t>以下简称《办法》</w:t>
      </w:r>
      <w:r>
        <w:rPr>
          <w:spacing w:val="-14"/>
        </w:rPr>
        <w:t>） </w:t>
      </w:r>
      <w:r>
        <w:rPr/>
        <w:t>在本项目环境影响报告书编制阶段开展了公众参与工作。</w:t>
      </w:r>
    </w:p>
    <w:p>
      <w:pPr>
        <w:spacing w:after="0" w:line="364" w:lineRule="auto"/>
        <w:sectPr>
          <w:footerReference w:type="default" r:id="rId5"/>
          <w:pgSz w:w="11910" w:h="16840"/>
          <w:pgMar w:footer="1055" w:header="0" w:top="1580" w:bottom="1240" w:left="1460" w:right="580"/>
          <w:pgNumType w:start="1"/>
        </w:sectPr>
      </w:pPr>
    </w:p>
    <w:p>
      <w:pPr>
        <w:pStyle w:val="BodyText"/>
        <w:spacing w:before="104"/>
        <w:ind w:left="661"/>
        <w:rPr>
          <w:rFonts w:ascii="Times New Roman" w:eastAsia="Times New Roman"/>
        </w:rPr>
      </w:pPr>
      <w:r>
        <w:rPr/>
        <w:t>建设单位于 </w:t>
      </w:r>
      <w:r>
        <w:rPr>
          <w:rFonts w:ascii="Times New Roman" w:eastAsia="Times New Roman"/>
        </w:rPr>
        <w:t>2020 </w:t>
      </w:r>
      <w:r>
        <w:rPr/>
        <w:t>年 </w:t>
      </w:r>
      <w:r>
        <w:rPr>
          <w:rFonts w:ascii="Times New Roman" w:eastAsia="Times New Roman"/>
        </w:rPr>
        <w:t>6 </w:t>
      </w:r>
      <w:r>
        <w:rPr/>
        <w:t>月 </w:t>
      </w:r>
      <w:r>
        <w:rPr>
          <w:rFonts w:ascii="Times New Roman" w:eastAsia="Times New Roman"/>
        </w:rPr>
        <w:t>22 </w:t>
      </w:r>
      <w:r>
        <w:rPr/>
        <w:t>日首次公开了本项目环境影响评价信息，于 </w:t>
      </w:r>
      <w:r>
        <w:rPr>
          <w:rFonts w:ascii="Times New Roman" w:eastAsia="Times New Roman"/>
        </w:rPr>
        <w:t>2020</w:t>
      </w:r>
    </w:p>
    <w:p>
      <w:pPr>
        <w:pStyle w:val="BodyText"/>
        <w:spacing w:line="364" w:lineRule="auto" w:before="158"/>
        <w:ind w:left="241" w:right="1119"/>
      </w:pPr>
      <w:r>
        <w:rPr>
          <w:spacing w:val="-30"/>
        </w:rPr>
        <w:t>年 </w:t>
      </w:r>
      <w:r>
        <w:rPr>
          <w:rFonts w:ascii="Times New Roman" w:eastAsia="Times New Roman"/>
        </w:rPr>
        <w:t>10 </w:t>
      </w:r>
      <w:r>
        <w:rPr>
          <w:spacing w:val="-30"/>
        </w:rPr>
        <w:t>月 </w:t>
      </w:r>
      <w:r>
        <w:rPr>
          <w:rFonts w:ascii="Times New Roman" w:eastAsia="Times New Roman"/>
        </w:rPr>
        <w:t>14 </w:t>
      </w:r>
      <w:r>
        <w:rPr>
          <w:spacing w:val="-4"/>
        </w:rPr>
        <w:t>日公开了本项目环境影响报告书征求意见稿，于 </w:t>
      </w:r>
      <w:r>
        <w:rPr>
          <w:rFonts w:ascii="Times New Roman" w:eastAsia="Times New Roman"/>
        </w:rPr>
        <w:t>2020 </w:t>
      </w:r>
      <w:r>
        <w:rPr>
          <w:spacing w:val="-30"/>
        </w:rPr>
        <w:t>年 </w:t>
      </w:r>
      <w:r>
        <w:rPr>
          <w:rFonts w:ascii="Times New Roman" w:eastAsia="Times New Roman"/>
        </w:rPr>
        <w:t>10 </w:t>
      </w:r>
      <w:r>
        <w:rPr>
          <w:spacing w:val="-30"/>
        </w:rPr>
        <w:t>月 </w:t>
      </w:r>
      <w:r>
        <w:rPr>
          <w:rFonts w:ascii="Times New Roman" w:eastAsia="Times New Roman"/>
        </w:rPr>
        <w:t>30 </w:t>
      </w:r>
      <w:r>
        <w:rPr>
          <w:spacing w:val="-9"/>
        </w:rPr>
        <w:t>日进</w:t>
      </w:r>
      <w:r>
        <w:rPr/>
        <w:t>行了本项目环境影响报告书报批前信息公开。</w:t>
      </w:r>
    </w:p>
    <w:p>
      <w:pPr>
        <w:pStyle w:val="Heading1"/>
        <w:numPr>
          <w:ilvl w:val="0"/>
          <w:numId w:val="2"/>
        </w:numPr>
        <w:tabs>
          <w:tab w:pos="561" w:val="left" w:leader="none"/>
        </w:tabs>
        <w:spacing w:line="240" w:lineRule="auto" w:before="210" w:after="0"/>
        <w:ind w:left="560" w:right="0" w:hanging="320"/>
        <w:jc w:val="left"/>
      </w:pPr>
      <w:bookmarkStart w:name="2 首次环境影响评价信息公开" w:id="4"/>
      <w:bookmarkEnd w:id="4"/>
      <w:r>
        <w:rPr/>
      </w:r>
      <w:bookmarkStart w:name="_bookmark1" w:id="5"/>
      <w:bookmarkEnd w:id="5"/>
      <w:r>
        <w:rPr/>
      </w:r>
      <w:bookmarkStart w:name="_bookmark1" w:id="6"/>
      <w:bookmarkEnd w:id="6"/>
      <w:r>
        <w:rPr>
          <w:w w:val="95"/>
        </w:rPr>
        <w:t>首次环境影响评价信息公开</w:t>
      </w:r>
    </w:p>
    <w:p>
      <w:pPr>
        <w:pStyle w:val="Heading2"/>
        <w:numPr>
          <w:ilvl w:val="1"/>
          <w:numId w:val="2"/>
        </w:numPr>
        <w:tabs>
          <w:tab w:pos="765" w:val="left" w:leader="none"/>
        </w:tabs>
        <w:spacing w:line="240" w:lineRule="auto" w:before="279" w:after="0"/>
        <w:ind w:left="764" w:right="0" w:hanging="524"/>
        <w:jc w:val="left"/>
      </w:pPr>
      <w:bookmarkStart w:name="2.1 公开内容及日期" w:id="7"/>
      <w:bookmarkEnd w:id="7"/>
      <w:r>
        <w:rPr/>
      </w:r>
      <w:bookmarkStart w:name="_bookmark2" w:id="8"/>
      <w:bookmarkEnd w:id="8"/>
      <w:r>
        <w:rPr/>
      </w:r>
      <w:bookmarkStart w:name="_bookmark2" w:id="9"/>
      <w:bookmarkEnd w:id="9"/>
      <w:r>
        <w:rPr/>
        <w:t>公开内容及日期</w:t>
      </w:r>
    </w:p>
    <w:p>
      <w:pPr>
        <w:pStyle w:val="BodyText"/>
        <w:spacing w:line="362" w:lineRule="auto" w:before="225" w:after="4"/>
        <w:ind w:left="241" w:right="1044" w:firstLine="480"/>
      </w:pPr>
      <w:r>
        <w:rPr/>
        <w:t>建设单位于 </w:t>
      </w:r>
      <w:r>
        <w:rPr>
          <w:rFonts w:ascii="Times New Roman" w:eastAsia="Times New Roman"/>
        </w:rPr>
        <w:t>2020 </w:t>
      </w:r>
      <w:r>
        <w:rPr/>
        <w:t>年 </w:t>
      </w:r>
      <w:r>
        <w:rPr>
          <w:rFonts w:ascii="Times New Roman" w:eastAsia="Times New Roman"/>
        </w:rPr>
        <w:t>6 </w:t>
      </w:r>
      <w:r>
        <w:rPr/>
        <w:t>月 </w:t>
      </w:r>
      <w:r>
        <w:rPr>
          <w:rFonts w:ascii="Times New Roman" w:eastAsia="Times New Roman"/>
        </w:rPr>
        <w:t>22 </w:t>
      </w:r>
      <w:r>
        <w:rPr/>
        <w:t>日首次公开了本项目环境影响评价信息，公开内容及日期与《办法》符合性分析见下表：</w:t>
      </w: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0"/>
        <w:gridCol w:w="5431"/>
        <w:gridCol w:w="1722"/>
        <w:gridCol w:w="927"/>
      </w:tblGrid>
      <w:tr>
        <w:trPr>
          <w:trHeight w:val="817" w:hRule="atLeast"/>
        </w:trPr>
        <w:tc>
          <w:tcPr>
            <w:tcW w:w="640" w:type="dxa"/>
            <w:tcBorders>
              <w:left w:val="nil"/>
              <w:bottom w:val="single" w:sz="4" w:space="0" w:color="000000"/>
              <w:right w:val="single" w:sz="4" w:space="0" w:color="000000"/>
            </w:tcBorders>
          </w:tcPr>
          <w:p>
            <w:pPr>
              <w:pStyle w:val="TableParagraph"/>
              <w:spacing w:before="1"/>
              <w:rPr>
                <w:sz w:val="16"/>
              </w:rPr>
            </w:pPr>
          </w:p>
          <w:p>
            <w:pPr>
              <w:pStyle w:val="TableParagraph"/>
              <w:ind w:left="104" w:right="71"/>
              <w:jc w:val="center"/>
              <w:rPr>
                <w:sz w:val="21"/>
              </w:rPr>
            </w:pPr>
            <w:r>
              <w:rPr>
                <w:sz w:val="21"/>
              </w:rPr>
              <w:t>序号</w:t>
            </w:r>
          </w:p>
        </w:tc>
        <w:tc>
          <w:tcPr>
            <w:tcW w:w="5431" w:type="dxa"/>
            <w:tcBorders>
              <w:left w:val="single" w:sz="4" w:space="0" w:color="000000"/>
              <w:bottom w:val="single" w:sz="4" w:space="0" w:color="000000"/>
              <w:right w:val="single" w:sz="4" w:space="0" w:color="000000"/>
            </w:tcBorders>
          </w:tcPr>
          <w:p>
            <w:pPr>
              <w:pStyle w:val="TableParagraph"/>
              <w:spacing w:before="1"/>
              <w:rPr>
                <w:sz w:val="16"/>
              </w:rPr>
            </w:pPr>
          </w:p>
          <w:p>
            <w:pPr>
              <w:pStyle w:val="TableParagraph"/>
              <w:ind w:left="116"/>
              <w:rPr>
                <w:sz w:val="21"/>
              </w:rPr>
            </w:pPr>
            <w:r>
              <w:rPr>
                <w:sz w:val="21"/>
              </w:rPr>
              <w:t>公开内容及日期</w:t>
            </w:r>
          </w:p>
        </w:tc>
        <w:tc>
          <w:tcPr>
            <w:tcW w:w="1722" w:type="dxa"/>
            <w:tcBorders>
              <w:left w:val="single" w:sz="4" w:space="0" w:color="000000"/>
              <w:bottom w:val="single" w:sz="4" w:space="0" w:color="000000"/>
              <w:right w:val="single" w:sz="4" w:space="0" w:color="000000"/>
            </w:tcBorders>
          </w:tcPr>
          <w:p>
            <w:pPr>
              <w:pStyle w:val="TableParagraph"/>
              <w:spacing w:before="1"/>
              <w:rPr>
                <w:sz w:val="16"/>
              </w:rPr>
            </w:pPr>
          </w:p>
          <w:p>
            <w:pPr>
              <w:pStyle w:val="TableParagraph"/>
              <w:ind w:left="241"/>
              <w:rPr>
                <w:sz w:val="21"/>
              </w:rPr>
            </w:pPr>
            <w:r>
              <w:rPr>
                <w:sz w:val="21"/>
              </w:rPr>
              <w:t>《办法》要求</w:t>
            </w:r>
          </w:p>
        </w:tc>
        <w:tc>
          <w:tcPr>
            <w:tcW w:w="927" w:type="dxa"/>
            <w:tcBorders>
              <w:left w:val="single" w:sz="4" w:space="0" w:color="000000"/>
              <w:bottom w:val="single" w:sz="4" w:space="0" w:color="000000"/>
              <w:right w:val="nil"/>
            </w:tcBorders>
          </w:tcPr>
          <w:p>
            <w:pPr>
              <w:pStyle w:val="TableParagraph"/>
              <w:spacing w:before="2"/>
              <w:ind w:left="135" w:right="116"/>
              <w:jc w:val="center"/>
              <w:rPr>
                <w:sz w:val="21"/>
              </w:rPr>
            </w:pPr>
            <w:r>
              <w:rPr>
                <w:sz w:val="21"/>
              </w:rPr>
              <w:t>符合性</w:t>
            </w:r>
          </w:p>
          <w:p>
            <w:pPr>
              <w:pStyle w:val="TableParagraph"/>
              <w:spacing w:before="139"/>
              <w:ind w:left="135" w:right="116"/>
              <w:jc w:val="center"/>
              <w:rPr>
                <w:sz w:val="21"/>
              </w:rPr>
            </w:pPr>
            <w:r>
              <w:rPr>
                <w:sz w:val="21"/>
              </w:rPr>
              <w:t>分析</w:t>
            </w:r>
          </w:p>
        </w:tc>
      </w:tr>
      <w:tr>
        <w:trPr>
          <w:trHeight w:val="4903" w:hRule="atLeast"/>
        </w:trPr>
        <w:tc>
          <w:tcPr>
            <w:tcW w:w="640" w:type="dxa"/>
            <w:tcBorders>
              <w:top w:val="single" w:sz="4" w:space="0" w:color="000000"/>
              <w:left w:val="nil"/>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3"/>
              </w:rPr>
            </w:pPr>
          </w:p>
          <w:p>
            <w:pPr>
              <w:pStyle w:val="TableParagraph"/>
              <w:ind w:left="32"/>
              <w:jc w:val="center"/>
              <w:rPr>
                <w:rFonts w:ascii="Times New Roman"/>
                <w:sz w:val="21"/>
              </w:rPr>
            </w:pPr>
            <w:r>
              <w:rPr>
                <w:rFonts w:ascii="Times New Roman"/>
                <w:w w:val="99"/>
                <w:sz w:val="21"/>
              </w:rPr>
              <w:t>1</w:t>
            </w:r>
          </w:p>
        </w:tc>
        <w:tc>
          <w:tcPr>
            <w:tcW w:w="5431"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
              <w:ind w:left="116" w:right="89"/>
              <w:rPr>
                <w:sz w:val="21"/>
              </w:rPr>
            </w:pPr>
            <w:r>
              <w:rPr>
                <w:spacing w:val="-5"/>
                <w:w w:val="95"/>
                <w:sz w:val="21"/>
              </w:rPr>
              <w:t>项目名称：双鸭山新自矿业有限责任公司</w:t>
            </w:r>
            <w:r>
              <w:rPr>
                <w:w w:val="95"/>
                <w:sz w:val="21"/>
              </w:rPr>
              <w:t>（原双鸭山双兴 </w:t>
            </w:r>
            <w:r>
              <w:rPr>
                <w:sz w:val="21"/>
              </w:rPr>
              <w:t>时代矿业有限责任公司一井）改扩建项目</w:t>
            </w:r>
          </w:p>
          <w:p>
            <w:pPr>
              <w:pStyle w:val="TableParagraph"/>
              <w:ind w:left="116"/>
              <w:rPr>
                <w:sz w:val="21"/>
              </w:rPr>
            </w:pPr>
            <w:r>
              <w:rPr>
                <w:w w:val="95"/>
                <w:sz w:val="21"/>
              </w:rPr>
              <w:t>建设单位：双鸭山新自矿业有限责任公司</w:t>
            </w:r>
          </w:p>
          <w:p>
            <w:pPr>
              <w:pStyle w:val="TableParagraph"/>
              <w:spacing w:line="364" w:lineRule="auto" w:before="139"/>
              <w:ind w:left="116" w:right="89"/>
              <w:rPr>
                <w:sz w:val="21"/>
              </w:rPr>
            </w:pPr>
            <w:r>
              <w:rPr>
                <w:spacing w:val="-5"/>
                <w:w w:val="95"/>
                <w:sz w:val="21"/>
              </w:rPr>
              <w:t>建设地点：双鸭山新自矿业有限责任公司</w:t>
            </w:r>
            <w:r>
              <w:rPr>
                <w:w w:val="95"/>
                <w:sz w:val="21"/>
              </w:rPr>
              <w:t>（原双鸭山双兴 时代矿业有限责任公司一井</w:t>
            </w:r>
            <w:r>
              <w:rPr>
                <w:spacing w:val="-34"/>
                <w:w w:val="95"/>
                <w:sz w:val="21"/>
              </w:rPr>
              <w:t>）</w:t>
            </w:r>
            <w:r>
              <w:rPr>
                <w:w w:val="95"/>
                <w:sz w:val="21"/>
              </w:rPr>
              <w:t>改扩建项目位于双鸭山市岭 </w:t>
            </w:r>
            <w:r>
              <w:rPr>
                <w:spacing w:val="-4"/>
                <w:w w:val="95"/>
                <w:sz w:val="21"/>
              </w:rPr>
              <w:t>东区长胜乡东兴村附近，在双鸭山矿业集团原岭东矿火药 </w:t>
            </w:r>
            <w:r>
              <w:rPr>
                <w:spacing w:val="-15"/>
                <w:sz w:val="21"/>
              </w:rPr>
              <w:t>库东侧 </w:t>
            </w:r>
            <w:r>
              <w:rPr>
                <w:rFonts w:ascii="Times New Roman" w:eastAsia="Times New Roman"/>
                <w:sz w:val="21"/>
              </w:rPr>
              <w:t>200m</w:t>
            </w:r>
            <w:r>
              <w:rPr>
                <w:rFonts w:ascii="Times New Roman" w:eastAsia="Times New Roman"/>
                <w:spacing w:val="6"/>
                <w:sz w:val="21"/>
              </w:rPr>
              <w:t> </w:t>
            </w:r>
            <w:r>
              <w:rPr>
                <w:sz w:val="21"/>
              </w:rPr>
              <w:t>处，行政区划隶属双鸭山市岭东区管辖。</w:t>
            </w:r>
            <w:r>
              <w:rPr>
                <w:spacing w:val="-4"/>
                <w:sz w:val="21"/>
              </w:rPr>
              <w:t>建设内容及规模：本项目设计生产规模 </w:t>
            </w:r>
            <w:r>
              <w:rPr>
                <w:rFonts w:ascii="Times New Roman" w:eastAsia="Times New Roman"/>
                <w:sz w:val="21"/>
              </w:rPr>
              <w:t>30</w:t>
            </w:r>
            <w:r>
              <w:rPr>
                <w:rFonts w:ascii="Times New Roman" w:eastAsia="Times New Roman"/>
                <w:spacing w:val="-4"/>
                <w:sz w:val="21"/>
              </w:rPr>
              <w:t> </w:t>
            </w:r>
            <w:r>
              <w:rPr>
                <w:spacing w:val="-29"/>
                <w:sz w:val="21"/>
              </w:rPr>
              <w:t>万 </w:t>
            </w:r>
            <w:r>
              <w:rPr>
                <w:rFonts w:ascii="Times New Roman" w:eastAsia="Times New Roman"/>
                <w:sz w:val="21"/>
              </w:rPr>
              <w:t>t/a</w:t>
            </w:r>
            <w:r>
              <w:rPr>
                <w:sz w:val="21"/>
              </w:rPr>
              <w:t>，可采储</w:t>
            </w:r>
            <w:r>
              <w:rPr>
                <w:spacing w:val="-27"/>
                <w:sz w:val="21"/>
              </w:rPr>
              <w:t>量 </w:t>
            </w:r>
            <w:r>
              <w:rPr>
                <w:rFonts w:ascii="Times New Roman" w:eastAsia="Times New Roman"/>
                <w:sz w:val="21"/>
              </w:rPr>
              <w:t>659.15</w:t>
            </w:r>
            <w:r>
              <w:rPr>
                <w:rFonts w:ascii="Times New Roman" w:eastAsia="Times New Roman"/>
                <w:spacing w:val="-3"/>
                <w:sz w:val="21"/>
              </w:rPr>
              <w:t> </w:t>
            </w:r>
            <w:r>
              <w:rPr>
                <w:spacing w:val="-7"/>
                <w:sz w:val="21"/>
              </w:rPr>
              <w:t>万吨，服务年限 </w:t>
            </w:r>
            <w:r>
              <w:rPr>
                <w:rFonts w:ascii="Times New Roman" w:eastAsia="Times New Roman"/>
                <w:sz w:val="21"/>
              </w:rPr>
              <w:t>15.7</w:t>
            </w:r>
            <w:r>
              <w:rPr>
                <w:rFonts w:ascii="Times New Roman" w:eastAsia="Times New Roman"/>
                <w:spacing w:val="-4"/>
                <w:sz w:val="21"/>
              </w:rPr>
              <w:t> </w:t>
            </w:r>
            <w:r>
              <w:rPr>
                <w:sz w:val="21"/>
              </w:rPr>
              <w:t>年。矿井改扩建后，仍利</w:t>
            </w:r>
          </w:p>
          <w:p>
            <w:pPr>
              <w:pStyle w:val="TableParagraph"/>
              <w:spacing w:line="364" w:lineRule="auto"/>
              <w:ind w:left="116" w:right="89"/>
              <w:rPr>
                <w:sz w:val="21"/>
              </w:rPr>
            </w:pPr>
            <w:r>
              <w:rPr>
                <w:spacing w:val="-7"/>
                <w:sz w:val="21"/>
              </w:rPr>
              <w:t>用现有的工业场地，共布置 </w:t>
            </w:r>
            <w:r>
              <w:rPr>
                <w:rFonts w:ascii="Times New Roman" w:eastAsia="Times New Roman"/>
                <w:sz w:val="21"/>
              </w:rPr>
              <w:t>3</w:t>
            </w:r>
            <w:r>
              <w:rPr>
                <w:rFonts w:ascii="Times New Roman" w:eastAsia="Times New Roman"/>
                <w:spacing w:val="-8"/>
                <w:sz w:val="21"/>
              </w:rPr>
              <w:t> </w:t>
            </w:r>
            <w:r>
              <w:rPr>
                <w:spacing w:val="-4"/>
                <w:sz w:val="21"/>
              </w:rPr>
              <w:t>条井筒，分别为主井、副井和风井。全矿井划分为一个水平，标高为</w:t>
            </w:r>
            <w:r>
              <w:rPr>
                <w:rFonts w:ascii="Times New Roman" w:eastAsia="Times New Roman"/>
                <w:spacing w:val="-4"/>
                <w:sz w:val="21"/>
              </w:rPr>
              <w:t>-166m</w:t>
            </w:r>
            <w:r>
              <w:rPr>
                <w:spacing w:val="-4"/>
                <w:sz w:val="21"/>
              </w:rPr>
              <w:t>，全矿井</w:t>
            </w:r>
          </w:p>
          <w:p>
            <w:pPr>
              <w:pStyle w:val="TableParagraph"/>
              <w:spacing w:line="267" w:lineRule="exact"/>
              <w:ind w:left="116"/>
              <w:rPr>
                <w:sz w:val="21"/>
              </w:rPr>
            </w:pPr>
            <w:r>
              <w:rPr>
                <w:sz w:val="21"/>
              </w:rPr>
              <w:t>共划分为 </w:t>
            </w:r>
            <w:r>
              <w:rPr>
                <w:rFonts w:ascii="Times New Roman" w:eastAsia="Times New Roman"/>
                <w:sz w:val="21"/>
              </w:rPr>
              <w:t>4 </w:t>
            </w:r>
            <w:r>
              <w:rPr>
                <w:sz w:val="21"/>
              </w:rPr>
              <w:t>个采区。本项目目前均处于停产状态。</w:t>
            </w:r>
          </w:p>
        </w:tc>
        <w:tc>
          <w:tcPr>
            <w:tcW w:w="1722"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1"/>
              <w:rPr>
                <w:sz w:val="19"/>
              </w:rPr>
            </w:pPr>
          </w:p>
          <w:p>
            <w:pPr>
              <w:pStyle w:val="TableParagraph"/>
              <w:spacing w:line="364" w:lineRule="auto"/>
              <w:ind w:left="116" w:right="124"/>
              <w:jc w:val="both"/>
              <w:rPr>
                <w:sz w:val="21"/>
              </w:rPr>
            </w:pPr>
            <w:r>
              <w:rPr>
                <w:spacing w:val="-2"/>
                <w:sz w:val="21"/>
              </w:rPr>
              <w:t>建设项目名称、选址选线、建设</w:t>
            </w:r>
            <w:r>
              <w:rPr>
                <w:sz w:val="21"/>
              </w:rPr>
              <w:t>内容等基本情</w:t>
            </w:r>
          </w:p>
          <w:p>
            <w:pPr>
              <w:pStyle w:val="TableParagraph"/>
              <w:spacing w:line="364" w:lineRule="auto"/>
              <w:ind w:left="116" w:right="-29"/>
              <w:rPr>
                <w:sz w:val="21"/>
              </w:rPr>
            </w:pPr>
            <w:r>
              <w:rPr>
                <w:spacing w:val="-10"/>
                <w:sz w:val="21"/>
              </w:rPr>
              <w:t>况，改建、扩建、迁建项目应当说明现有工程及其环境保护情况</w:t>
            </w:r>
          </w:p>
        </w:tc>
        <w:tc>
          <w:tcPr>
            <w:tcW w:w="927" w:type="dxa"/>
            <w:tcBorders>
              <w:top w:val="single" w:sz="4" w:space="0" w:color="000000"/>
              <w:left w:val="single" w:sz="4" w:space="0" w:color="000000"/>
              <w:bottom w:val="single" w:sz="4"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5"/>
              </w:rPr>
            </w:pPr>
          </w:p>
          <w:p>
            <w:pPr>
              <w:pStyle w:val="TableParagraph"/>
              <w:ind w:left="135" w:right="116"/>
              <w:jc w:val="center"/>
              <w:rPr>
                <w:sz w:val="21"/>
              </w:rPr>
            </w:pPr>
            <w:r>
              <w:rPr>
                <w:sz w:val="21"/>
              </w:rPr>
              <w:t>符合</w:t>
            </w:r>
          </w:p>
        </w:tc>
      </w:tr>
      <w:tr>
        <w:trPr>
          <w:trHeight w:val="2042" w:hRule="atLeast"/>
        </w:trPr>
        <w:tc>
          <w:tcPr>
            <w:tcW w:w="640" w:type="dxa"/>
            <w:tcBorders>
              <w:top w:val="single" w:sz="4" w:space="0" w:color="000000"/>
              <w:left w:val="nil"/>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spacing w:before="1"/>
              <w:ind w:left="32"/>
              <w:jc w:val="center"/>
              <w:rPr>
                <w:rFonts w:ascii="Times New Roman"/>
                <w:sz w:val="21"/>
              </w:rPr>
            </w:pPr>
            <w:r>
              <w:rPr>
                <w:rFonts w:ascii="Times New Roman"/>
                <w:w w:val="99"/>
                <w:sz w:val="21"/>
              </w:rPr>
              <w:t>2</w:t>
            </w:r>
          </w:p>
        </w:tc>
        <w:tc>
          <w:tcPr>
            <w:tcW w:w="5431"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ind w:left="116" w:right="1522"/>
              <w:jc w:val="both"/>
              <w:rPr>
                <w:sz w:val="21"/>
              </w:rPr>
            </w:pPr>
            <w:r>
              <w:rPr>
                <w:w w:val="95"/>
                <w:sz w:val="21"/>
              </w:rPr>
              <w:t>建设单位：双鸭山新自矿业有限责任公司</w:t>
            </w:r>
            <w:r>
              <w:rPr>
                <w:spacing w:val="-4"/>
                <w:sz w:val="21"/>
              </w:rPr>
              <w:t>单位地址：双鸭山市尖山区二马路 </w:t>
            </w:r>
            <w:r>
              <w:rPr>
                <w:rFonts w:ascii="Times New Roman" w:eastAsia="Times New Roman"/>
                <w:sz w:val="21"/>
              </w:rPr>
              <w:t>378 </w:t>
            </w:r>
            <w:r>
              <w:rPr>
                <w:spacing w:val="-10"/>
                <w:sz w:val="21"/>
              </w:rPr>
              <w:t>号</w:t>
            </w:r>
            <w:r>
              <w:rPr>
                <w:sz w:val="21"/>
              </w:rPr>
              <w:t>联系人：邢伟印</w:t>
            </w:r>
          </w:p>
          <w:p>
            <w:pPr>
              <w:pStyle w:val="TableParagraph"/>
              <w:spacing w:line="266" w:lineRule="exact"/>
              <w:ind w:left="116"/>
              <w:rPr>
                <w:rFonts w:ascii="Times New Roman" w:eastAsia="Times New Roman"/>
                <w:sz w:val="21"/>
              </w:rPr>
            </w:pPr>
            <w:r>
              <w:rPr>
                <w:sz w:val="21"/>
              </w:rPr>
              <w:t>联系电话：</w:t>
            </w:r>
            <w:r>
              <w:rPr>
                <w:rFonts w:ascii="Times New Roman" w:eastAsia="Times New Roman"/>
                <w:sz w:val="21"/>
              </w:rPr>
              <w:t>13091790296</w:t>
            </w:r>
          </w:p>
          <w:p>
            <w:pPr>
              <w:pStyle w:val="TableParagraph"/>
              <w:spacing w:before="142"/>
              <w:ind w:left="116"/>
              <w:rPr>
                <w:rFonts w:ascii="Times New Roman" w:eastAsia="Times New Roman"/>
                <w:sz w:val="21"/>
              </w:rPr>
            </w:pPr>
            <w:r>
              <w:rPr>
                <w:rFonts w:ascii="Times New Roman" w:eastAsia="Times New Roman"/>
                <w:sz w:val="21"/>
              </w:rPr>
              <w:t>E-mail</w:t>
            </w:r>
            <w:r>
              <w:rPr>
                <w:sz w:val="21"/>
              </w:rPr>
              <w:t>：</w:t>
            </w:r>
            <w:hyperlink r:id="rId6">
              <w:r>
                <w:rPr>
                  <w:rFonts w:ascii="Times New Roman" w:eastAsia="Times New Roman"/>
                  <w:sz w:val="21"/>
                </w:rPr>
                <w:t>sxsdky4285671@126.com</w:t>
              </w:r>
            </w:hyperlink>
          </w:p>
        </w:tc>
        <w:tc>
          <w:tcPr>
            <w:tcW w:w="1722"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27"/>
              </w:rPr>
            </w:pPr>
          </w:p>
          <w:p>
            <w:pPr>
              <w:pStyle w:val="TableParagraph"/>
              <w:spacing w:line="364" w:lineRule="auto"/>
              <w:ind w:left="116" w:right="124"/>
              <w:rPr>
                <w:sz w:val="21"/>
              </w:rPr>
            </w:pPr>
            <w:r>
              <w:rPr>
                <w:sz w:val="21"/>
              </w:rPr>
              <w:t>建设单位名称和联系方式</w:t>
            </w:r>
          </w:p>
        </w:tc>
        <w:tc>
          <w:tcPr>
            <w:tcW w:w="927" w:type="dxa"/>
            <w:tcBorders>
              <w:top w:val="single" w:sz="4" w:space="0" w:color="000000"/>
              <w:left w:val="single" w:sz="4" w:space="0" w:color="000000"/>
              <w:bottom w:val="single" w:sz="4" w:space="0" w:color="000000"/>
              <w:right w:val="nil"/>
            </w:tcBorders>
          </w:tcPr>
          <w:p>
            <w:pPr>
              <w:pStyle w:val="TableParagraph"/>
              <w:rPr>
                <w:sz w:val="20"/>
              </w:rPr>
            </w:pPr>
          </w:p>
          <w:p>
            <w:pPr>
              <w:pStyle w:val="TableParagraph"/>
              <w:rPr>
                <w:sz w:val="20"/>
              </w:rPr>
            </w:pPr>
          </w:p>
          <w:p>
            <w:pPr>
              <w:pStyle w:val="TableParagraph"/>
              <w:spacing w:before="9"/>
              <w:rPr>
                <w:sz w:val="23"/>
              </w:rPr>
            </w:pPr>
          </w:p>
          <w:p>
            <w:pPr>
              <w:pStyle w:val="TableParagraph"/>
              <w:ind w:left="135" w:right="116"/>
              <w:jc w:val="center"/>
              <w:rPr>
                <w:sz w:val="21"/>
              </w:rPr>
            </w:pPr>
            <w:r>
              <w:rPr>
                <w:sz w:val="21"/>
              </w:rPr>
              <w:t>符合</w:t>
            </w:r>
          </w:p>
        </w:tc>
      </w:tr>
      <w:tr>
        <w:trPr>
          <w:trHeight w:val="817" w:hRule="atLeast"/>
        </w:trPr>
        <w:tc>
          <w:tcPr>
            <w:tcW w:w="640" w:type="dxa"/>
            <w:tcBorders>
              <w:top w:val="single" w:sz="4" w:space="0" w:color="000000"/>
              <w:left w:val="nil"/>
              <w:bottom w:val="single" w:sz="4" w:space="0" w:color="000000"/>
              <w:right w:val="single" w:sz="4" w:space="0" w:color="000000"/>
            </w:tcBorders>
          </w:tcPr>
          <w:p>
            <w:pPr>
              <w:pStyle w:val="TableParagraph"/>
              <w:spacing w:before="10"/>
              <w:rPr>
                <w:sz w:val="17"/>
              </w:rPr>
            </w:pPr>
          </w:p>
          <w:p>
            <w:pPr>
              <w:pStyle w:val="TableParagraph"/>
              <w:ind w:right="109"/>
              <w:jc w:val="center"/>
              <w:rPr>
                <w:rFonts w:ascii="Times New Roman"/>
                <w:sz w:val="21"/>
              </w:rPr>
            </w:pPr>
            <w:r>
              <w:rPr>
                <w:rFonts w:ascii="Times New Roman"/>
                <w:w w:val="99"/>
                <w:sz w:val="21"/>
              </w:rPr>
              <w:t>3</w:t>
            </w:r>
          </w:p>
        </w:tc>
        <w:tc>
          <w:tcPr>
            <w:tcW w:w="5431" w:type="dxa"/>
            <w:tcBorders>
              <w:top w:val="single" w:sz="4" w:space="0" w:color="000000"/>
              <w:left w:val="single" w:sz="4" w:space="0" w:color="000000"/>
              <w:bottom w:val="single" w:sz="4" w:space="0" w:color="000000"/>
              <w:right w:val="single" w:sz="4" w:space="0" w:color="000000"/>
            </w:tcBorders>
          </w:tcPr>
          <w:p>
            <w:pPr>
              <w:pStyle w:val="TableParagraph"/>
              <w:spacing w:before="125"/>
              <w:ind w:left="116"/>
              <w:rPr>
                <w:rFonts w:ascii="微软雅黑" w:eastAsia="微软雅黑" w:hint="eastAsia"/>
                <w:sz w:val="21"/>
              </w:rPr>
            </w:pPr>
            <w:r>
              <w:rPr>
                <w:sz w:val="21"/>
              </w:rPr>
              <w:t>评价单位名称：</w:t>
            </w:r>
            <w:r>
              <w:rPr>
                <w:rFonts w:ascii="微软雅黑" w:eastAsia="微软雅黑" w:hint="eastAsia"/>
                <w:sz w:val="21"/>
              </w:rPr>
              <w:t>黑龙江科大欣欣环保科技有限公司</w:t>
            </w:r>
          </w:p>
        </w:tc>
        <w:tc>
          <w:tcPr>
            <w:tcW w:w="1722" w:type="dxa"/>
            <w:tcBorders>
              <w:top w:val="single" w:sz="4" w:space="0" w:color="000000"/>
              <w:left w:val="single" w:sz="4" w:space="0" w:color="000000"/>
              <w:bottom w:val="single" w:sz="4" w:space="0" w:color="000000"/>
              <w:right w:val="single" w:sz="4" w:space="0" w:color="000000"/>
            </w:tcBorders>
          </w:tcPr>
          <w:p>
            <w:pPr>
              <w:pStyle w:val="TableParagraph"/>
              <w:ind w:left="116"/>
              <w:rPr>
                <w:sz w:val="21"/>
              </w:rPr>
            </w:pPr>
            <w:r>
              <w:rPr>
                <w:w w:val="95"/>
                <w:sz w:val="21"/>
              </w:rPr>
              <w:t>环境影响报告书</w:t>
            </w:r>
          </w:p>
          <w:p>
            <w:pPr>
              <w:pStyle w:val="TableParagraph"/>
              <w:spacing w:before="139"/>
              <w:ind w:left="116"/>
              <w:rPr>
                <w:sz w:val="21"/>
              </w:rPr>
            </w:pPr>
            <w:r>
              <w:rPr>
                <w:w w:val="95"/>
                <w:sz w:val="21"/>
              </w:rPr>
              <w:t>编制单位的名称</w:t>
            </w:r>
          </w:p>
        </w:tc>
        <w:tc>
          <w:tcPr>
            <w:tcW w:w="927" w:type="dxa"/>
            <w:tcBorders>
              <w:top w:val="single" w:sz="4" w:space="0" w:color="000000"/>
              <w:left w:val="single" w:sz="4" w:space="0" w:color="000000"/>
              <w:bottom w:val="single" w:sz="4" w:space="0" w:color="000000"/>
              <w:right w:val="nil"/>
            </w:tcBorders>
          </w:tcPr>
          <w:p>
            <w:pPr>
              <w:pStyle w:val="TableParagraph"/>
              <w:spacing w:before="12"/>
              <w:rPr>
                <w:sz w:val="15"/>
              </w:rPr>
            </w:pPr>
          </w:p>
          <w:p>
            <w:pPr>
              <w:pStyle w:val="TableParagraph"/>
              <w:ind w:left="135" w:right="116"/>
              <w:jc w:val="center"/>
              <w:rPr>
                <w:sz w:val="21"/>
              </w:rPr>
            </w:pPr>
            <w:r>
              <w:rPr>
                <w:sz w:val="21"/>
              </w:rPr>
              <w:t>符合</w:t>
            </w:r>
          </w:p>
        </w:tc>
      </w:tr>
      <w:tr>
        <w:trPr>
          <w:trHeight w:val="862" w:hRule="atLeast"/>
        </w:trPr>
        <w:tc>
          <w:tcPr>
            <w:tcW w:w="640" w:type="dxa"/>
            <w:tcBorders>
              <w:top w:val="single" w:sz="4" w:space="0" w:color="000000"/>
              <w:left w:val="nil"/>
              <w:right w:val="single" w:sz="4" w:space="0" w:color="000000"/>
            </w:tcBorders>
          </w:tcPr>
          <w:p>
            <w:pPr>
              <w:pStyle w:val="TableParagraph"/>
              <w:spacing w:before="7"/>
              <w:rPr>
                <w:sz w:val="19"/>
              </w:rPr>
            </w:pPr>
          </w:p>
          <w:p>
            <w:pPr>
              <w:pStyle w:val="TableParagraph"/>
              <w:ind w:right="109"/>
              <w:jc w:val="center"/>
              <w:rPr>
                <w:rFonts w:ascii="Times New Roman"/>
                <w:sz w:val="21"/>
              </w:rPr>
            </w:pPr>
            <w:r>
              <w:rPr>
                <w:rFonts w:ascii="Times New Roman"/>
                <w:w w:val="99"/>
                <w:sz w:val="21"/>
              </w:rPr>
              <w:t>4</w:t>
            </w:r>
          </w:p>
        </w:tc>
        <w:tc>
          <w:tcPr>
            <w:tcW w:w="5431" w:type="dxa"/>
            <w:tcBorders>
              <w:top w:val="single" w:sz="4" w:space="0" w:color="000000"/>
              <w:left w:val="single" w:sz="4" w:space="0" w:color="000000"/>
              <w:right w:val="single" w:sz="4" w:space="0" w:color="000000"/>
            </w:tcBorders>
          </w:tcPr>
          <w:p>
            <w:pPr>
              <w:pStyle w:val="TableParagraph"/>
              <w:spacing w:line="374" w:lineRule="exact"/>
              <w:ind w:left="116"/>
              <w:rPr>
                <w:rFonts w:ascii="微软雅黑" w:eastAsia="微软雅黑" w:hint="eastAsia"/>
                <w:sz w:val="21"/>
              </w:rPr>
            </w:pPr>
            <w:r>
              <w:rPr>
                <w:rFonts w:ascii="微软雅黑" w:eastAsia="微软雅黑" w:hint="eastAsia"/>
                <w:sz w:val="21"/>
              </w:rPr>
              <w:t>公众可登陆中华人民共和国生态环境部下载公众意见表</w:t>
            </w:r>
          </w:p>
          <w:p>
            <w:pPr>
              <w:pStyle w:val="TableParagraph"/>
              <w:spacing w:before="45"/>
              <w:ind w:left="116"/>
              <w:rPr>
                <w:rFonts w:ascii="微软雅黑" w:eastAsia="微软雅黑" w:hint="eastAsia"/>
                <w:sz w:val="21"/>
              </w:rPr>
            </w:pPr>
            <w:r>
              <w:rPr>
                <w:rFonts w:ascii="微软雅黑" w:eastAsia="微软雅黑" w:hint="eastAsia"/>
                <w:sz w:val="21"/>
              </w:rPr>
              <w:t>并按照规定格式要求填写，具体链接为：</w:t>
            </w:r>
          </w:p>
        </w:tc>
        <w:tc>
          <w:tcPr>
            <w:tcW w:w="1722" w:type="dxa"/>
            <w:tcBorders>
              <w:top w:val="single" w:sz="4" w:space="0" w:color="000000"/>
              <w:left w:val="single" w:sz="4" w:space="0" w:color="000000"/>
              <w:right w:val="single" w:sz="4" w:space="0" w:color="000000"/>
            </w:tcBorders>
          </w:tcPr>
          <w:p>
            <w:pPr>
              <w:pStyle w:val="TableParagraph"/>
              <w:spacing w:line="364" w:lineRule="auto" w:before="23"/>
              <w:ind w:left="116" w:right="124"/>
              <w:rPr>
                <w:sz w:val="21"/>
              </w:rPr>
            </w:pPr>
            <w:r>
              <w:rPr>
                <w:sz w:val="21"/>
              </w:rPr>
              <w:t>公众意见表的网络链接</w:t>
            </w:r>
          </w:p>
        </w:tc>
        <w:tc>
          <w:tcPr>
            <w:tcW w:w="927" w:type="dxa"/>
            <w:tcBorders>
              <w:top w:val="single" w:sz="4" w:space="0" w:color="000000"/>
              <w:left w:val="single" w:sz="4" w:space="0" w:color="000000"/>
              <w:right w:val="nil"/>
            </w:tcBorders>
          </w:tcPr>
          <w:p>
            <w:pPr>
              <w:pStyle w:val="TableParagraph"/>
              <w:spacing w:before="9"/>
              <w:rPr>
                <w:sz w:val="17"/>
              </w:rPr>
            </w:pPr>
          </w:p>
          <w:p>
            <w:pPr>
              <w:pStyle w:val="TableParagraph"/>
              <w:ind w:left="135" w:right="116"/>
              <w:jc w:val="center"/>
              <w:rPr>
                <w:sz w:val="21"/>
              </w:rPr>
            </w:pPr>
            <w:r>
              <w:rPr>
                <w:sz w:val="21"/>
              </w:rPr>
              <w:t>符合</w:t>
            </w:r>
          </w:p>
        </w:tc>
      </w:tr>
    </w:tbl>
    <w:p>
      <w:pPr>
        <w:spacing w:after="0"/>
        <w:jc w:val="center"/>
        <w:rPr>
          <w:sz w:val="21"/>
        </w:rPr>
        <w:sectPr>
          <w:pgSz w:w="11910" w:h="16840"/>
          <w:pgMar w:header="0" w:footer="1055" w:top="1580" w:bottom="1320" w:left="1460" w:right="580"/>
        </w:sectPr>
      </w:pPr>
    </w:p>
    <w:p>
      <w:pPr>
        <w:pStyle w:val="BodyText"/>
        <w:rPr>
          <w:sz w:val="8"/>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0"/>
        <w:gridCol w:w="5431"/>
        <w:gridCol w:w="1722"/>
        <w:gridCol w:w="927"/>
      </w:tblGrid>
      <w:tr>
        <w:trPr>
          <w:trHeight w:val="845" w:hRule="atLeast"/>
        </w:trPr>
        <w:tc>
          <w:tcPr>
            <w:tcW w:w="640" w:type="dxa"/>
            <w:tcBorders>
              <w:left w:val="nil"/>
              <w:bottom w:val="single" w:sz="4" w:space="0" w:color="000000"/>
              <w:right w:val="single" w:sz="4" w:space="0" w:color="000000"/>
            </w:tcBorders>
          </w:tcPr>
          <w:p>
            <w:pPr>
              <w:pStyle w:val="TableParagraph"/>
              <w:rPr>
                <w:rFonts w:ascii="Times New Roman"/>
                <w:sz w:val="22"/>
              </w:rPr>
            </w:pPr>
          </w:p>
        </w:tc>
        <w:tc>
          <w:tcPr>
            <w:tcW w:w="5431" w:type="dxa"/>
            <w:tcBorders>
              <w:left w:val="single" w:sz="4" w:space="0" w:color="000000"/>
              <w:bottom w:val="single" w:sz="4" w:space="0" w:color="000000"/>
              <w:right w:val="single" w:sz="4" w:space="0" w:color="000000"/>
            </w:tcBorders>
          </w:tcPr>
          <w:p>
            <w:pPr>
              <w:pStyle w:val="TableParagraph"/>
              <w:spacing w:line="353" w:lineRule="exact"/>
              <w:ind w:left="116"/>
              <w:rPr>
                <w:rFonts w:ascii="微软雅黑"/>
                <w:sz w:val="21"/>
              </w:rPr>
            </w:pPr>
            <w:hyperlink r:id="rId7">
              <w:r>
                <w:rPr>
                  <w:rFonts w:ascii="微软雅黑"/>
                  <w:sz w:val="21"/>
                </w:rPr>
                <w:t>http://www.mee.gov.cn/xxgk2018/xxgk/xxgk01/201</w:t>
              </w:r>
            </w:hyperlink>
          </w:p>
          <w:p>
            <w:pPr>
              <w:pStyle w:val="TableParagraph"/>
              <w:spacing w:before="45"/>
              <w:ind w:left="116"/>
              <w:rPr>
                <w:rFonts w:ascii="微软雅黑" w:eastAsia="微软雅黑" w:hint="eastAsia"/>
                <w:sz w:val="21"/>
              </w:rPr>
            </w:pPr>
            <w:r>
              <w:rPr>
                <w:rFonts w:ascii="微软雅黑" w:eastAsia="微软雅黑" w:hint="eastAsia"/>
                <w:sz w:val="21"/>
              </w:rPr>
              <w:t>810/t20181024_665329.html。</w:t>
            </w:r>
          </w:p>
        </w:tc>
        <w:tc>
          <w:tcPr>
            <w:tcW w:w="1722"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927" w:type="dxa"/>
            <w:tcBorders>
              <w:left w:val="single" w:sz="4" w:space="0" w:color="000000"/>
              <w:bottom w:val="single" w:sz="4" w:space="0" w:color="000000"/>
              <w:right w:val="nil"/>
            </w:tcBorders>
          </w:tcPr>
          <w:p>
            <w:pPr>
              <w:pStyle w:val="TableParagraph"/>
              <w:rPr>
                <w:rFonts w:ascii="Times New Roman"/>
                <w:sz w:val="22"/>
              </w:rPr>
            </w:pPr>
          </w:p>
        </w:tc>
      </w:tr>
      <w:tr>
        <w:trPr>
          <w:trHeight w:val="816" w:hRule="atLeast"/>
        </w:trPr>
        <w:tc>
          <w:tcPr>
            <w:tcW w:w="640" w:type="dxa"/>
            <w:tcBorders>
              <w:top w:val="single" w:sz="4" w:space="0" w:color="000000"/>
              <w:left w:val="nil"/>
              <w:right w:val="single" w:sz="4" w:space="0" w:color="000000"/>
            </w:tcBorders>
          </w:tcPr>
          <w:p>
            <w:pPr>
              <w:pStyle w:val="TableParagraph"/>
              <w:spacing w:before="8"/>
              <w:rPr>
                <w:sz w:val="17"/>
              </w:rPr>
            </w:pPr>
          </w:p>
          <w:p>
            <w:pPr>
              <w:pStyle w:val="TableParagraph"/>
              <w:ind w:left="209"/>
              <w:rPr>
                <w:rFonts w:ascii="Times New Roman"/>
                <w:sz w:val="21"/>
              </w:rPr>
            </w:pPr>
            <w:r>
              <w:rPr>
                <w:rFonts w:ascii="Times New Roman"/>
                <w:w w:val="99"/>
                <w:sz w:val="21"/>
              </w:rPr>
              <w:t>5</w:t>
            </w:r>
          </w:p>
        </w:tc>
        <w:tc>
          <w:tcPr>
            <w:tcW w:w="5431" w:type="dxa"/>
            <w:tcBorders>
              <w:top w:val="single" w:sz="4" w:space="0" w:color="000000"/>
              <w:left w:val="single" w:sz="4" w:space="0" w:color="000000"/>
              <w:right w:val="single" w:sz="4" w:space="0" w:color="000000"/>
            </w:tcBorders>
          </w:tcPr>
          <w:p>
            <w:pPr>
              <w:pStyle w:val="TableParagraph"/>
              <w:spacing w:before="1"/>
              <w:ind w:left="116"/>
              <w:rPr>
                <w:sz w:val="21"/>
              </w:rPr>
            </w:pPr>
            <w:r>
              <w:rPr>
                <w:sz w:val="21"/>
              </w:rPr>
              <w:t>公众可通过邮寄或电子邮件等方式向建设单位或环评单</w:t>
            </w:r>
          </w:p>
          <w:p>
            <w:pPr>
              <w:pStyle w:val="TableParagraph"/>
              <w:spacing w:before="139"/>
              <w:ind w:left="116"/>
              <w:rPr>
                <w:sz w:val="21"/>
              </w:rPr>
            </w:pPr>
            <w:r>
              <w:rPr>
                <w:sz w:val="21"/>
              </w:rPr>
              <w:t>位提交公众意见表</w:t>
            </w:r>
          </w:p>
        </w:tc>
        <w:tc>
          <w:tcPr>
            <w:tcW w:w="1722" w:type="dxa"/>
            <w:tcBorders>
              <w:top w:val="single" w:sz="4" w:space="0" w:color="000000"/>
              <w:left w:val="single" w:sz="4" w:space="0" w:color="000000"/>
              <w:right w:val="single" w:sz="4" w:space="0" w:color="000000"/>
            </w:tcBorders>
          </w:tcPr>
          <w:p>
            <w:pPr>
              <w:pStyle w:val="TableParagraph"/>
              <w:spacing w:before="1"/>
              <w:ind w:left="116"/>
              <w:rPr>
                <w:sz w:val="21"/>
              </w:rPr>
            </w:pPr>
            <w:r>
              <w:rPr>
                <w:sz w:val="21"/>
              </w:rPr>
              <w:t>提交公众意见表</w:t>
            </w:r>
          </w:p>
          <w:p>
            <w:pPr>
              <w:pStyle w:val="TableParagraph"/>
              <w:spacing w:before="139"/>
              <w:ind w:left="116"/>
              <w:rPr>
                <w:sz w:val="21"/>
              </w:rPr>
            </w:pPr>
            <w:r>
              <w:rPr>
                <w:sz w:val="21"/>
              </w:rPr>
              <w:t>的方式和途径</w:t>
            </w:r>
          </w:p>
        </w:tc>
        <w:tc>
          <w:tcPr>
            <w:tcW w:w="927" w:type="dxa"/>
            <w:tcBorders>
              <w:top w:val="single" w:sz="4" w:space="0" w:color="000000"/>
              <w:left w:val="single" w:sz="4" w:space="0" w:color="000000"/>
              <w:right w:val="nil"/>
            </w:tcBorders>
          </w:tcPr>
          <w:p>
            <w:pPr>
              <w:pStyle w:val="TableParagraph"/>
              <w:rPr>
                <w:sz w:val="16"/>
              </w:rPr>
            </w:pPr>
          </w:p>
          <w:p>
            <w:pPr>
              <w:pStyle w:val="TableParagraph"/>
              <w:ind w:left="261"/>
              <w:rPr>
                <w:sz w:val="21"/>
              </w:rPr>
            </w:pPr>
            <w:r>
              <w:rPr>
                <w:sz w:val="21"/>
              </w:rPr>
              <w:t>符合</w:t>
            </w:r>
          </w:p>
        </w:tc>
      </w:tr>
    </w:tbl>
    <w:p>
      <w:pPr>
        <w:pStyle w:val="BodyText"/>
        <w:spacing w:before="3"/>
        <w:rPr>
          <w:sz w:val="12"/>
        </w:rPr>
      </w:pPr>
    </w:p>
    <w:p>
      <w:pPr>
        <w:pStyle w:val="Heading2"/>
        <w:numPr>
          <w:ilvl w:val="1"/>
          <w:numId w:val="2"/>
        </w:numPr>
        <w:tabs>
          <w:tab w:pos="765" w:val="left" w:leader="none"/>
        </w:tabs>
        <w:spacing w:line="240" w:lineRule="auto" w:before="67" w:after="0"/>
        <w:ind w:left="764" w:right="0" w:hanging="524"/>
        <w:jc w:val="both"/>
      </w:pPr>
      <w:bookmarkStart w:name="2.2 公开方式" w:id="10"/>
      <w:bookmarkEnd w:id="10"/>
      <w:r>
        <w:rPr/>
      </w:r>
      <w:bookmarkStart w:name="_bookmark3" w:id="11"/>
      <w:bookmarkEnd w:id="11"/>
      <w:r>
        <w:rPr/>
      </w:r>
      <w:bookmarkStart w:name="_bookmark3" w:id="12"/>
      <w:bookmarkEnd w:id="12"/>
      <w:r>
        <w:rPr/>
        <w:t>公开方式</w:t>
      </w:r>
    </w:p>
    <w:p>
      <w:pPr>
        <w:pStyle w:val="Heading3"/>
        <w:numPr>
          <w:ilvl w:val="2"/>
          <w:numId w:val="2"/>
        </w:numPr>
        <w:tabs>
          <w:tab w:pos="940" w:val="left" w:leader="none"/>
        </w:tabs>
        <w:spacing w:line="240" w:lineRule="auto" w:before="226" w:after="0"/>
        <w:ind w:left="940" w:right="0" w:hanging="699"/>
        <w:jc w:val="both"/>
      </w:pPr>
      <w:r>
        <w:rPr/>
        <w:t>网络</w:t>
      </w:r>
    </w:p>
    <w:p>
      <w:pPr>
        <w:pStyle w:val="BodyText"/>
        <w:spacing w:line="364" w:lineRule="auto" w:before="186" w:after="3"/>
        <w:ind w:left="241" w:right="1112" w:firstLine="480"/>
        <w:jc w:val="both"/>
      </w:pPr>
      <w:r>
        <w:rPr/>
        <w:t>载体：双鸭山市岭东区人民政府网（</w:t>
      </w:r>
      <w:hyperlink r:id="rId8">
        <w:r>
          <w:rPr>
            <w:rFonts w:ascii="Times New Roman" w:eastAsia="Times New Roman"/>
          </w:rPr>
          <w:t>http://www.sysld.gov.cn/</w:t>
        </w:r>
      </w:hyperlink>
      <w:r>
        <w:rPr/>
        <w:t>），属于建设项</w:t>
      </w:r>
      <w:r>
        <w:rPr>
          <w:spacing w:val="30"/>
        </w:rPr>
        <w:t>目所在地公共媒体网站； 网络公示时间为 </w:t>
      </w:r>
      <w:r>
        <w:rPr>
          <w:rFonts w:ascii="Times New Roman" w:eastAsia="Times New Roman"/>
        </w:rPr>
        <w:t>2020 </w:t>
      </w:r>
      <w:r>
        <w:rPr>
          <w:spacing w:val="-6"/>
        </w:rPr>
        <w:t>年 </w:t>
      </w:r>
      <w:r>
        <w:rPr>
          <w:rFonts w:ascii="Times New Roman" w:eastAsia="Times New Roman"/>
        </w:rPr>
        <w:t>6 </w:t>
      </w:r>
      <w:r>
        <w:rPr>
          <w:spacing w:val="-6"/>
        </w:rPr>
        <w:t>月 </w:t>
      </w:r>
      <w:r>
        <w:rPr>
          <w:rFonts w:ascii="Times New Roman" w:eastAsia="Times New Roman"/>
        </w:rPr>
        <w:t>22 </w:t>
      </w:r>
      <w:r>
        <w:rPr>
          <w:spacing w:val="11"/>
        </w:rPr>
        <w:t>日； 网址： </w:t>
      </w:r>
      <w:hyperlink r:id="rId9">
        <w:r>
          <w:rPr>
            <w:rFonts w:ascii="Times New Roman" w:eastAsia="Times New Roman"/>
            <w:spacing w:val="11"/>
          </w:rPr>
          <w:t>http://www.sysld.gov.cn/newsHtmlPage/20200622/19237.html</w:t>
        </w:r>
      </w:hyperlink>
      <w:r>
        <w:rPr>
          <w:spacing w:val="11"/>
        </w:rPr>
        <w:t>；截图如下：</w:t>
      </w:r>
    </w:p>
    <w:p>
      <w:pPr>
        <w:pStyle w:val="BodyText"/>
        <w:ind w:left="347"/>
        <w:rPr>
          <w:sz w:val="20"/>
        </w:rPr>
      </w:pPr>
      <w:r>
        <w:rPr>
          <w:sz w:val="20"/>
        </w:rPr>
        <w:drawing>
          <wp:inline distT="0" distB="0" distL="0" distR="0">
            <wp:extent cx="5191590" cy="2920269"/>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10" cstate="print"/>
                    <a:stretch>
                      <a:fillRect/>
                    </a:stretch>
                  </pic:blipFill>
                  <pic:spPr>
                    <a:xfrm>
                      <a:off x="0" y="0"/>
                      <a:ext cx="5191590" cy="2920269"/>
                    </a:xfrm>
                    <a:prstGeom prst="rect">
                      <a:avLst/>
                    </a:prstGeom>
                  </pic:spPr>
                </pic:pic>
              </a:graphicData>
            </a:graphic>
          </wp:inline>
        </w:drawing>
      </w:r>
      <w:r>
        <w:rPr>
          <w:sz w:val="20"/>
        </w:rPr>
      </w:r>
    </w:p>
    <w:p>
      <w:pPr>
        <w:spacing w:after="0"/>
        <w:rPr>
          <w:sz w:val="20"/>
        </w:rPr>
        <w:sectPr>
          <w:pgSz w:w="11910" w:h="16840"/>
          <w:pgMar w:header="0" w:footer="1055" w:top="1580" w:bottom="1320" w:left="1460" w:right="580"/>
        </w:sectPr>
      </w:pPr>
    </w:p>
    <w:p>
      <w:pPr>
        <w:pStyle w:val="BodyText"/>
        <w:spacing w:before="1"/>
        <w:rPr>
          <w:sz w:val="8"/>
        </w:rPr>
      </w:pPr>
    </w:p>
    <w:p>
      <w:pPr>
        <w:pStyle w:val="BodyText"/>
        <w:ind w:left="347"/>
        <w:rPr>
          <w:sz w:val="20"/>
        </w:rPr>
      </w:pPr>
      <w:r>
        <w:rPr>
          <w:sz w:val="20"/>
        </w:rPr>
        <w:drawing>
          <wp:inline distT="0" distB="0" distL="0" distR="0">
            <wp:extent cx="5120640" cy="576072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5120640" cy="5760720"/>
                    </a:xfrm>
                    <a:prstGeom prst="rect">
                      <a:avLst/>
                    </a:prstGeom>
                  </pic:spPr>
                </pic:pic>
              </a:graphicData>
            </a:graphic>
          </wp:inline>
        </w:drawing>
      </w:r>
      <w:r>
        <w:rPr>
          <w:sz w:val="20"/>
        </w:rPr>
      </w:r>
    </w:p>
    <w:p>
      <w:pPr>
        <w:pStyle w:val="BodyText"/>
        <w:spacing w:before="6"/>
        <w:rPr>
          <w:sz w:val="14"/>
        </w:rPr>
      </w:pPr>
    </w:p>
    <w:p>
      <w:pPr>
        <w:tabs>
          <w:tab w:pos="659" w:val="left" w:leader="none"/>
        </w:tabs>
        <w:spacing w:before="75"/>
        <w:ind w:left="0" w:right="872" w:firstLine="0"/>
        <w:jc w:val="center"/>
        <w:rPr>
          <w:b/>
          <w:sz w:val="24"/>
        </w:rPr>
      </w:pPr>
      <w:r>
        <w:rPr>
          <w:b/>
          <w:sz w:val="24"/>
        </w:rPr>
        <w:t>图</w:t>
      </w:r>
      <w:r>
        <w:rPr>
          <w:b/>
          <w:spacing w:val="-62"/>
          <w:sz w:val="24"/>
        </w:rPr>
        <w:t> </w:t>
      </w:r>
      <w:r>
        <w:rPr>
          <w:rFonts w:ascii="Times New Roman" w:eastAsia="Times New Roman"/>
          <w:b/>
          <w:sz w:val="24"/>
        </w:rPr>
        <w:t>1</w:t>
        <w:tab/>
      </w:r>
      <w:r>
        <w:rPr>
          <w:b/>
          <w:sz w:val="24"/>
        </w:rPr>
        <w:t>第一次公告截图</w:t>
      </w:r>
    </w:p>
    <w:p>
      <w:pPr>
        <w:pStyle w:val="BodyText"/>
        <w:rPr>
          <w:b/>
          <w:sz w:val="20"/>
        </w:rPr>
      </w:pPr>
    </w:p>
    <w:p>
      <w:pPr>
        <w:pStyle w:val="ListParagraph"/>
        <w:numPr>
          <w:ilvl w:val="2"/>
          <w:numId w:val="2"/>
        </w:numPr>
        <w:tabs>
          <w:tab w:pos="940" w:val="left" w:leader="none"/>
        </w:tabs>
        <w:spacing w:line="364" w:lineRule="auto" w:before="231" w:after="0"/>
        <w:ind w:left="800" w:right="8362" w:hanging="560"/>
        <w:jc w:val="left"/>
        <w:rPr>
          <w:sz w:val="28"/>
        </w:rPr>
      </w:pPr>
      <w:r>
        <w:rPr>
          <w:spacing w:val="-7"/>
          <w:sz w:val="28"/>
        </w:rPr>
        <w:t>其他</w:t>
      </w:r>
      <w:r>
        <w:rPr>
          <w:sz w:val="28"/>
        </w:rPr>
        <w:t>无</w:t>
      </w:r>
    </w:p>
    <w:p>
      <w:pPr>
        <w:pStyle w:val="Heading2"/>
        <w:numPr>
          <w:ilvl w:val="1"/>
          <w:numId w:val="2"/>
        </w:numPr>
        <w:tabs>
          <w:tab w:pos="691" w:val="left" w:leader="none"/>
        </w:tabs>
        <w:spacing w:line="240" w:lineRule="auto" w:before="221" w:after="0"/>
        <w:ind w:left="690" w:right="0" w:hanging="450"/>
        <w:jc w:val="left"/>
      </w:pPr>
      <w:bookmarkStart w:name="2.3公众意见情况" w:id="13"/>
      <w:bookmarkEnd w:id="13"/>
      <w:r>
        <w:rPr/>
      </w:r>
      <w:bookmarkStart w:name="_bookmark4" w:id="14"/>
      <w:bookmarkEnd w:id="14"/>
      <w:r>
        <w:rPr/>
      </w:r>
      <w:bookmarkStart w:name="_bookmark4" w:id="15"/>
      <w:bookmarkEnd w:id="15"/>
      <w:r>
        <w:rPr/>
        <w:t>公众意见情况</w:t>
      </w:r>
    </w:p>
    <w:p>
      <w:pPr>
        <w:spacing w:before="226"/>
        <w:ind w:left="800" w:right="0" w:firstLine="0"/>
        <w:jc w:val="left"/>
        <w:rPr>
          <w:sz w:val="28"/>
        </w:rPr>
      </w:pPr>
      <w:r>
        <w:rPr>
          <w:w w:val="100"/>
          <w:sz w:val="28"/>
        </w:rPr>
        <w:t>无</w:t>
      </w:r>
    </w:p>
    <w:p>
      <w:pPr>
        <w:spacing w:after="0"/>
        <w:jc w:val="left"/>
        <w:rPr>
          <w:sz w:val="28"/>
        </w:rPr>
        <w:sectPr>
          <w:pgSz w:w="11910" w:h="16840"/>
          <w:pgMar w:header="0" w:footer="1055" w:top="1580" w:bottom="1320" w:left="1460" w:right="580"/>
        </w:sectPr>
      </w:pPr>
    </w:p>
    <w:p>
      <w:pPr>
        <w:pStyle w:val="Heading1"/>
        <w:numPr>
          <w:ilvl w:val="0"/>
          <w:numId w:val="2"/>
        </w:numPr>
        <w:tabs>
          <w:tab w:pos="561" w:val="left" w:leader="none"/>
        </w:tabs>
        <w:spacing w:line="240" w:lineRule="auto" w:before="159" w:after="0"/>
        <w:ind w:left="560" w:right="0" w:hanging="320"/>
        <w:jc w:val="left"/>
      </w:pPr>
      <w:bookmarkStart w:name="3 征求意见稿公示情况" w:id="16"/>
      <w:bookmarkEnd w:id="16"/>
      <w:r>
        <w:rPr/>
      </w:r>
      <w:bookmarkStart w:name="_bookmark5" w:id="17"/>
      <w:bookmarkEnd w:id="17"/>
      <w:r>
        <w:rPr/>
      </w:r>
      <w:bookmarkStart w:name="_bookmark5" w:id="18"/>
      <w:bookmarkEnd w:id="18"/>
      <w:r>
        <w:rPr/>
        <w:t>征求意见稿公示情况</w:t>
      </w:r>
    </w:p>
    <w:p>
      <w:pPr>
        <w:pStyle w:val="Heading2"/>
        <w:numPr>
          <w:ilvl w:val="1"/>
          <w:numId w:val="2"/>
        </w:numPr>
        <w:tabs>
          <w:tab w:pos="691" w:val="left" w:leader="none"/>
        </w:tabs>
        <w:spacing w:line="240" w:lineRule="auto" w:before="279" w:after="0"/>
        <w:ind w:left="690" w:right="0" w:hanging="450"/>
        <w:jc w:val="left"/>
      </w:pPr>
      <w:bookmarkStart w:name="3.1公示内容及时限" w:id="19"/>
      <w:bookmarkEnd w:id="19"/>
      <w:r>
        <w:rPr/>
      </w:r>
      <w:bookmarkStart w:name="_bookmark6" w:id="20"/>
      <w:bookmarkEnd w:id="20"/>
      <w:r>
        <w:rPr/>
      </w:r>
      <w:bookmarkStart w:name="_bookmark6" w:id="21"/>
      <w:bookmarkEnd w:id="21"/>
      <w:r>
        <w:rPr/>
        <w:t>公示内容及时限</w:t>
      </w:r>
    </w:p>
    <w:p>
      <w:pPr>
        <w:pStyle w:val="BodyText"/>
        <w:spacing w:line="364" w:lineRule="auto" w:before="223"/>
        <w:ind w:left="241" w:right="951" w:firstLine="480"/>
      </w:pPr>
      <w:r>
        <w:rPr>
          <w:spacing w:val="7"/>
        </w:rPr>
        <w:t>建设单位于</w:t>
      </w:r>
      <w:r>
        <w:rPr>
          <w:rFonts w:ascii="Times New Roman" w:eastAsia="Times New Roman"/>
        </w:rPr>
        <w:t>2020 </w:t>
      </w:r>
      <w:r>
        <w:rPr>
          <w:spacing w:val="36"/>
        </w:rPr>
        <w:t>年</w:t>
      </w:r>
      <w:r>
        <w:rPr>
          <w:rFonts w:ascii="Times New Roman" w:eastAsia="Times New Roman"/>
        </w:rPr>
        <w:t>10 </w:t>
      </w:r>
      <w:r>
        <w:rPr>
          <w:spacing w:val="38"/>
        </w:rPr>
        <w:t>月</w:t>
      </w:r>
      <w:r>
        <w:rPr>
          <w:rFonts w:ascii="Times New Roman" w:eastAsia="Times New Roman"/>
        </w:rPr>
        <w:t>14 </w:t>
      </w:r>
      <w:r>
        <w:rPr>
          <w:spacing w:val="-2"/>
        </w:rPr>
        <w:t>日公布了本项目环境影响评价报告书征求意见稿， </w:t>
      </w:r>
      <w:r>
        <w:rPr/>
        <w:t>公示内容及时限与《办法》符合性分析见下表：</w:t>
      </w: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4"/>
        <w:gridCol w:w="4816"/>
        <w:gridCol w:w="2071"/>
        <w:gridCol w:w="1039"/>
      </w:tblGrid>
      <w:tr>
        <w:trPr>
          <w:trHeight w:val="817" w:hRule="atLeast"/>
        </w:trPr>
        <w:tc>
          <w:tcPr>
            <w:tcW w:w="794" w:type="dxa"/>
            <w:tcBorders>
              <w:left w:val="nil"/>
              <w:bottom w:val="single" w:sz="4" w:space="0" w:color="000000"/>
              <w:right w:val="single" w:sz="4" w:space="0" w:color="000000"/>
            </w:tcBorders>
          </w:tcPr>
          <w:p>
            <w:pPr>
              <w:pStyle w:val="TableParagraph"/>
              <w:spacing w:before="12"/>
              <w:rPr>
                <w:sz w:val="15"/>
              </w:rPr>
            </w:pPr>
          </w:p>
          <w:p>
            <w:pPr>
              <w:pStyle w:val="TableParagraph"/>
              <w:spacing w:before="1"/>
              <w:ind w:left="108" w:right="221"/>
              <w:jc w:val="center"/>
              <w:rPr>
                <w:sz w:val="21"/>
              </w:rPr>
            </w:pPr>
            <w:r>
              <w:rPr>
                <w:sz w:val="21"/>
              </w:rPr>
              <w:t>序号</w:t>
            </w:r>
          </w:p>
        </w:tc>
        <w:tc>
          <w:tcPr>
            <w:tcW w:w="4816" w:type="dxa"/>
            <w:tcBorders>
              <w:left w:val="single" w:sz="4" w:space="0" w:color="000000"/>
              <w:bottom w:val="single" w:sz="4" w:space="0" w:color="000000"/>
              <w:right w:val="single" w:sz="4" w:space="0" w:color="000000"/>
            </w:tcBorders>
          </w:tcPr>
          <w:p>
            <w:pPr>
              <w:pStyle w:val="TableParagraph"/>
              <w:spacing w:before="12"/>
              <w:rPr>
                <w:sz w:val="15"/>
              </w:rPr>
            </w:pPr>
          </w:p>
          <w:p>
            <w:pPr>
              <w:pStyle w:val="TableParagraph"/>
              <w:spacing w:before="1"/>
              <w:ind w:left="118"/>
              <w:rPr>
                <w:sz w:val="21"/>
              </w:rPr>
            </w:pPr>
            <w:r>
              <w:rPr>
                <w:sz w:val="21"/>
              </w:rPr>
              <w:t>公开内容及日期</w:t>
            </w:r>
          </w:p>
        </w:tc>
        <w:tc>
          <w:tcPr>
            <w:tcW w:w="2071" w:type="dxa"/>
            <w:tcBorders>
              <w:left w:val="single" w:sz="4" w:space="0" w:color="000000"/>
              <w:bottom w:val="single" w:sz="4" w:space="0" w:color="000000"/>
              <w:right w:val="single" w:sz="4" w:space="0" w:color="000000"/>
            </w:tcBorders>
          </w:tcPr>
          <w:p>
            <w:pPr>
              <w:pStyle w:val="TableParagraph"/>
              <w:spacing w:before="1"/>
              <w:ind w:left="342"/>
              <w:rPr>
                <w:sz w:val="21"/>
              </w:rPr>
            </w:pPr>
            <w:r>
              <w:rPr>
                <w:sz w:val="21"/>
              </w:rPr>
              <w:t>《办法》要求</w:t>
            </w:r>
          </w:p>
        </w:tc>
        <w:tc>
          <w:tcPr>
            <w:tcW w:w="1039" w:type="dxa"/>
            <w:tcBorders>
              <w:left w:val="single" w:sz="4" w:space="0" w:color="000000"/>
              <w:bottom w:val="single" w:sz="4" w:space="0" w:color="000000"/>
              <w:right w:val="nil"/>
            </w:tcBorders>
          </w:tcPr>
          <w:p>
            <w:pPr>
              <w:pStyle w:val="TableParagraph"/>
              <w:spacing w:before="1"/>
              <w:ind w:left="140"/>
              <w:rPr>
                <w:sz w:val="21"/>
              </w:rPr>
            </w:pPr>
            <w:r>
              <w:rPr>
                <w:sz w:val="21"/>
              </w:rPr>
              <w:t>符合性</w:t>
            </w:r>
          </w:p>
          <w:p>
            <w:pPr>
              <w:pStyle w:val="TableParagraph"/>
              <w:spacing w:before="139"/>
              <w:ind w:left="244"/>
              <w:rPr>
                <w:sz w:val="21"/>
              </w:rPr>
            </w:pPr>
            <w:r>
              <w:rPr>
                <w:sz w:val="21"/>
              </w:rPr>
              <w:t>分析</w:t>
            </w:r>
          </w:p>
        </w:tc>
      </w:tr>
      <w:tr>
        <w:trPr>
          <w:trHeight w:val="3319" w:hRule="atLeast"/>
        </w:trPr>
        <w:tc>
          <w:tcPr>
            <w:tcW w:w="794" w:type="dxa"/>
            <w:tcBorders>
              <w:top w:val="single" w:sz="4" w:space="0" w:color="000000"/>
              <w:left w:val="nil"/>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7"/>
              </w:rPr>
            </w:pPr>
          </w:p>
          <w:p>
            <w:pPr>
              <w:pStyle w:val="TableParagraph"/>
              <w:ind w:right="110"/>
              <w:jc w:val="center"/>
              <w:rPr>
                <w:rFonts w:ascii="Times New Roman"/>
                <w:sz w:val="21"/>
              </w:rPr>
            </w:pPr>
            <w:r>
              <w:rPr>
                <w:rFonts w:ascii="Times New Roman"/>
                <w:w w:val="99"/>
                <w:sz w:val="21"/>
              </w:rPr>
              <w:t>1</w:t>
            </w:r>
          </w:p>
        </w:tc>
        <w:tc>
          <w:tcPr>
            <w:tcW w:w="4816" w:type="dxa"/>
            <w:tcBorders>
              <w:top w:val="single" w:sz="4" w:space="0" w:color="000000"/>
              <w:left w:val="single" w:sz="4" w:space="0" w:color="000000"/>
              <w:bottom w:val="single" w:sz="4" w:space="0" w:color="000000"/>
              <w:right w:val="single" w:sz="4" w:space="0" w:color="000000"/>
            </w:tcBorders>
          </w:tcPr>
          <w:p>
            <w:pPr>
              <w:pStyle w:val="TableParagraph"/>
              <w:ind w:left="118"/>
              <w:rPr>
                <w:sz w:val="24"/>
              </w:rPr>
            </w:pPr>
            <w:r>
              <w:rPr>
                <w:spacing w:val="29"/>
                <w:sz w:val="24"/>
              </w:rPr>
              <w:t>公众可登陆双鸭山市岭东区人民政府网</w:t>
            </w:r>
          </w:p>
          <w:p>
            <w:pPr>
              <w:pStyle w:val="TableParagraph"/>
              <w:spacing w:line="290" w:lineRule="auto" w:before="67"/>
              <w:ind w:left="118" w:right="-44"/>
              <w:rPr>
                <w:sz w:val="24"/>
              </w:rPr>
            </w:pPr>
            <w:r>
              <w:rPr>
                <w:sz w:val="24"/>
              </w:rPr>
              <w:t>（</w:t>
            </w:r>
            <w:hyperlink r:id="rId8">
              <w:r>
                <w:rPr>
                  <w:rFonts w:ascii="Times New Roman" w:eastAsia="Times New Roman"/>
                  <w:sz w:val="24"/>
                </w:rPr>
                <w:t>http://www.sysld.gov.cn/</w:t>
              </w:r>
            </w:hyperlink>
            <w:r>
              <w:rPr>
                <w:sz w:val="24"/>
              </w:rPr>
              <w:t>）查看建设项目环</w:t>
            </w:r>
            <w:r>
              <w:rPr>
                <w:spacing w:val="-6"/>
                <w:sz w:val="24"/>
              </w:rPr>
              <w:t>境影响报告书征求意见稿全文，具体链接为： </w:t>
            </w:r>
            <w:hyperlink r:id="rId12">
              <w:r>
                <w:rPr>
                  <w:rFonts w:ascii="Times New Roman" w:eastAsia="Times New Roman"/>
                  <w:spacing w:val="-6"/>
                  <w:sz w:val="24"/>
                </w:rPr>
                <w:t>http://www.sysld.gov.cn/newsHtmlPage/20201</w:t>
              </w:r>
            </w:hyperlink>
            <w:r>
              <w:rPr>
                <w:rFonts w:ascii="Times New Roman" w:eastAsia="Times New Roman"/>
                <w:spacing w:val="-6"/>
                <w:sz w:val="24"/>
              </w:rPr>
              <w:t> 014/19691.html</w:t>
            </w:r>
            <w:r>
              <w:rPr>
                <w:rFonts w:ascii="Times New Roman" w:eastAsia="Times New Roman"/>
                <w:spacing w:val="9"/>
                <w:sz w:val="24"/>
              </w:rPr>
              <w:t> </w:t>
            </w:r>
            <w:r>
              <w:rPr>
                <w:spacing w:val="8"/>
                <w:sz w:val="24"/>
              </w:rPr>
              <w:t>公众可以通过本次网络链接中提供的联系方式向建设单位（双鸭山新自矿业有限责任公司</w:t>
            </w:r>
            <w:r>
              <w:rPr>
                <w:spacing w:val="-101"/>
                <w:sz w:val="24"/>
              </w:rPr>
              <w:t>）</w:t>
            </w:r>
            <w:r>
              <w:rPr>
                <w:spacing w:val="-12"/>
                <w:sz w:val="24"/>
              </w:rPr>
              <w:t>和环境影响评价机构</w:t>
            </w:r>
            <w:r>
              <w:rPr>
                <w:sz w:val="24"/>
              </w:rPr>
              <w:t>（黑龙江科大欣欣环保科技有限公司）提出咨询</w:t>
            </w:r>
          </w:p>
          <w:p>
            <w:pPr>
              <w:pStyle w:val="TableParagraph"/>
              <w:spacing w:before="4"/>
              <w:ind w:left="118"/>
              <w:rPr>
                <w:sz w:val="24"/>
              </w:rPr>
            </w:pPr>
            <w:r>
              <w:rPr>
                <w:sz w:val="24"/>
              </w:rPr>
              <w:t>本项目的纸质版环境影响报告书信息。</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9"/>
              <w:rPr>
                <w:sz w:val="29"/>
              </w:rPr>
            </w:pPr>
          </w:p>
          <w:p>
            <w:pPr>
              <w:pStyle w:val="TableParagraph"/>
              <w:spacing w:line="364" w:lineRule="auto"/>
              <w:ind w:left="116" w:right="235"/>
              <w:jc w:val="both"/>
              <w:rPr>
                <w:sz w:val="21"/>
              </w:rPr>
            </w:pPr>
            <w:r>
              <w:rPr>
                <w:sz w:val="21"/>
              </w:rPr>
              <w:t>环境影响报告书征求意见稿全文的网络链接及查阅纸质报告书的方式和途径</w:t>
            </w:r>
          </w:p>
        </w:tc>
        <w:tc>
          <w:tcPr>
            <w:tcW w:w="1039" w:type="dxa"/>
            <w:tcBorders>
              <w:top w:val="single" w:sz="4" w:space="0" w:color="000000"/>
              <w:left w:val="single" w:sz="4" w:space="0" w:color="000000"/>
              <w:bottom w:val="single" w:sz="4"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4"/>
              <w:ind w:left="244"/>
              <w:rPr>
                <w:sz w:val="21"/>
              </w:rPr>
            </w:pPr>
            <w:r>
              <w:rPr>
                <w:sz w:val="21"/>
              </w:rPr>
              <w:t>符合</w:t>
            </w:r>
          </w:p>
        </w:tc>
      </w:tr>
      <w:tr>
        <w:trPr>
          <w:trHeight w:val="2043" w:hRule="atLeast"/>
        </w:trPr>
        <w:tc>
          <w:tcPr>
            <w:tcW w:w="794" w:type="dxa"/>
            <w:tcBorders>
              <w:top w:val="single" w:sz="4" w:space="0" w:color="000000"/>
              <w:left w:val="nil"/>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5"/>
              <w:rPr>
                <w:sz w:val="21"/>
              </w:rPr>
            </w:pPr>
          </w:p>
          <w:p>
            <w:pPr>
              <w:pStyle w:val="TableParagraph"/>
              <w:ind w:right="110"/>
              <w:jc w:val="center"/>
              <w:rPr>
                <w:rFonts w:ascii="Times New Roman"/>
                <w:sz w:val="21"/>
              </w:rPr>
            </w:pPr>
            <w:r>
              <w:rPr>
                <w:rFonts w:ascii="Times New Roman"/>
                <w:w w:val="99"/>
                <w:sz w:val="21"/>
              </w:rPr>
              <w:t>2</w:t>
            </w:r>
          </w:p>
        </w:tc>
        <w:tc>
          <w:tcPr>
            <w:tcW w:w="4816"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ind w:left="118" w:right="276"/>
              <w:jc w:val="both"/>
              <w:rPr>
                <w:sz w:val="21"/>
              </w:rPr>
            </w:pPr>
            <w:r>
              <w:rPr>
                <w:w w:val="95"/>
                <w:sz w:val="21"/>
              </w:rPr>
              <w:t>征求公众意见的范围主要是评价范围内环境保护 目标：双鸭山新自矿业有限责任公司（原双鸭山 双兴时代矿业有限责任公司一井）改扩建项目矿 区附近居民及相关部门；评价范围外的群众也可</w:t>
            </w:r>
          </w:p>
          <w:p>
            <w:pPr>
              <w:pStyle w:val="TableParagraph"/>
              <w:spacing w:line="268" w:lineRule="exact"/>
              <w:ind w:left="118"/>
              <w:rPr>
                <w:sz w:val="21"/>
              </w:rPr>
            </w:pPr>
            <w:r>
              <w:rPr>
                <w:sz w:val="21"/>
              </w:rPr>
              <w:t>提出与本项目环境影响有关的意见和建议。</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8"/>
              <w:rPr>
                <w:sz w:val="27"/>
              </w:rPr>
            </w:pPr>
          </w:p>
          <w:p>
            <w:pPr>
              <w:pStyle w:val="TableParagraph"/>
              <w:spacing w:line="364" w:lineRule="auto" w:before="1"/>
              <w:ind w:left="116" w:right="235"/>
              <w:rPr>
                <w:sz w:val="21"/>
              </w:rPr>
            </w:pPr>
            <w:r>
              <w:rPr>
                <w:sz w:val="21"/>
              </w:rPr>
              <w:t>征求意见的公众范围</w:t>
            </w:r>
          </w:p>
        </w:tc>
        <w:tc>
          <w:tcPr>
            <w:tcW w:w="1039" w:type="dxa"/>
            <w:tcBorders>
              <w:top w:val="single" w:sz="4" w:space="0" w:color="000000"/>
              <w:left w:val="single" w:sz="4" w:space="0" w:color="000000"/>
              <w:bottom w:val="single" w:sz="4" w:space="0" w:color="000000"/>
              <w:right w:val="nil"/>
            </w:tcBorders>
          </w:tcPr>
          <w:p>
            <w:pPr>
              <w:pStyle w:val="TableParagraph"/>
              <w:rPr>
                <w:sz w:val="20"/>
              </w:rPr>
            </w:pPr>
          </w:p>
          <w:p>
            <w:pPr>
              <w:pStyle w:val="TableParagraph"/>
              <w:rPr>
                <w:sz w:val="20"/>
              </w:rPr>
            </w:pPr>
          </w:p>
          <w:p>
            <w:pPr>
              <w:pStyle w:val="TableParagraph"/>
              <w:spacing w:before="7"/>
              <w:rPr>
                <w:sz w:val="23"/>
              </w:rPr>
            </w:pPr>
          </w:p>
          <w:p>
            <w:pPr>
              <w:pStyle w:val="TableParagraph"/>
              <w:spacing w:before="1"/>
              <w:ind w:left="244"/>
              <w:rPr>
                <w:sz w:val="21"/>
              </w:rPr>
            </w:pPr>
            <w:r>
              <w:rPr>
                <w:sz w:val="21"/>
              </w:rPr>
              <w:t>符合</w:t>
            </w:r>
          </w:p>
        </w:tc>
      </w:tr>
      <w:tr>
        <w:trPr>
          <w:trHeight w:val="2813" w:hRule="atLeast"/>
        </w:trPr>
        <w:tc>
          <w:tcPr>
            <w:tcW w:w="794" w:type="dxa"/>
            <w:tcBorders>
              <w:top w:val="single" w:sz="4" w:space="0" w:color="000000"/>
              <w:left w:val="nil"/>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right="110"/>
              <w:jc w:val="center"/>
              <w:rPr>
                <w:rFonts w:ascii="Times New Roman"/>
                <w:sz w:val="21"/>
              </w:rPr>
            </w:pPr>
            <w:r>
              <w:rPr>
                <w:rFonts w:ascii="Times New Roman"/>
                <w:w w:val="99"/>
                <w:sz w:val="21"/>
              </w:rPr>
              <w:t>3</w:t>
            </w:r>
          </w:p>
        </w:tc>
        <w:tc>
          <w:tcPr>
            <w:tcW w:w="4816" w:type="dxa"/>
            <w:tcBorders>
              <w:top w:val="single" w:sz="4" w:space="0" w:color="000000"/>
              <w:left w:val="single" w:sz="4" w:space="0" w:color="000000"/>
              <w:bottom w:val="single" w:sz="4" w:space="0" w:color="000000"/>
              <w:right w:val="single" w:sz="4" w:space="0" w:color="000000"/>
            </w:tcBorders>
          </w:tcPr>
          <w:p>
            <w:pPr>
              <w:pStyle w:val="TableParagraph"/>
              <w:spacing w:line="362" w:lineRule="auto"/>
              <w:ind w:left="118" w:right="271"/>
              <w:jc w:val="both"/>
              <w:rPr>
                <w:sz w:val="21"/>
              </w:rPr>
            </w:pPr>
            <w:r>
              <w:rPr>
                <w:sz w:val="21"/>
              </w:rPr>
              <w:t>公众可登陆中华人民共和国生态环境部下载公众意见表并按照规定格式要求填写，具体链接为： </w:t>
            </w:r>
            <w:hyperlink r:id="rId13">
              <w:r>
                <w:rPr>
                  <w:rFonts w:ascii="Times New Roman" w:eastAsia="Times New Roman"/>
                  <w:w w:val="95"/>
                  <w:sz w:val="21"/>
                </w:rPr>
                <w:t>http://www.mee.gov.cn/xxgk2018/xxgk/xxgk01/201</w:t>
              </w:r>
            </w:hyperlink>
            <w:r>
              <w:rPr>
                <w:rFonts w:ascii="Times New Roman" w:eastAsia="Times New Roman"/>
                <w:w w:val="95"/>
                <w:sz w:val="21"/>
              </w:rPr>
              <w:t> </w:t>
            </w:r>
            <w:r>
              <w:rPr>
                <w:rFonts w:ascii="Times New Roman" w:eastAsia="Times New Roman"/>
                <w:sz w:val="21"/>
              </w:rPr>
              <w:t>810/t20181024_665329.html</w:t>
            </w:r>
            <w:r>
              <w:rPr>
                <w:sz w:val="21"/>
              </w:rPr>
              <w:t>。</w:t>
            </w:r>
          </w:p>
          <w:p>
            <w:pPr>
              <w:pStyle w:val="TableParagraph"/>
              <w:spacing w:before="3"/>
              <w:ind w:left="118"/>
              <w:rPr>
                <w:sz w:val="21"/>
              </w:rPr>
            </w:pPr>
            <w:r>
              <w:rPr>
                <w:sz w:val="21"/>
              </w:rPr>
              <w:t>注：公众在提交意见时，应当提供有效的联系方</w:t>
            </w:r>
          </w:p>
          <w:p>
            <w:pPr>
              <w:pStyle w:val="TableParagraph"/>
              <w:spacing w:line="400" w:lineRule="atLeast" w:before="10"/>
              <w:ind w:left="118" w:right="276"/>
              <w:rPr>
                <w:sz w:val="21"/>
              </w:rPr>
            </w:pPr>
            <w:r>
              <w:rPr>
                <w:w w:val="95"/>
                <w:sz w:val="21"/>
              </w:rPr>
              <w:t>式。国家鼓励公众采用实名方式提交意见并提供 </w:t>
            </w:r>
            <w:r>
              <w:rPr>
                <w:sz w:val="21"/>
              </w:rPr>
              <w:t>常住地址。</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9"/>
              <w:rPr>
                <w:sz w:val="17"/>
              </w:rPr>
            </w:pPr>
          </w:p>
          <w:p>
            <w:pPr>
              <w:pStyle w:val="TableParagraph"/>
              <w:spacing w:line="364" w:lineRule="auto" w:before="1"/>
              <w:ind w:left="116" w:right="235"/>
              <w:rPr>
                <w:sz w:val="21"/>
              </w:rPr>
            </w:pPr>
            <w:r>
              <w:rPr>
                <w:sz w:val="21"/>
              </w:rPr>
              <w:t>公众意见表的网络链接</w:t>
            </w:r>
          </w:p>
        </w:tc>
        <w:tc>
          <w:tcPr>
            <w:tcW w:w="1039" w:type="dxa"/>
            <w:tcBorders>
              <w:top w:val="single" w:sz="4" w:space="0" w:color="000000"/>
              <w:left w:val="single" w:sz="4" w:space="0" w:color="000000"/>
              <w:bottom w:val="single" w:sz="4"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7"/>
              <w:ind w:left="244"/>
              <w:rPr>
                <w:sz w:val="21"/>
              </w:rPr>
            </w:pPr>
            <w:r>
              <w:rPr>
                <w:sz w:val="21"/>
              </w:rPr>
              <w:t>符合</w:t>
            </w:r>
          </w:p>
        </w:tc>
      </w:tr>
      <w:tr>
        <w:trPr>
          <w:trHeight w:val="2039" w:hRule="atLeast"/>
        </w:trPr>
        <w:tc>
          <w:tcPr>
            <w:tcW w:w="794" w:type="dxa"/>
            <w:tcBorders>
              <w:top w:val="single" w:sz="4" w:space="0" w:color="000000"/>
              <w:left w:val="nil"/>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110"/>
              <w:jc w:val="center"/>
              <w:rPr>
                <w:rFonts w:ascii="Times New Roman"/>
                <w:sz w:val="21"/>
              </w:rPr>
            </w:pPr>
            <w:r>
              <w:rPr>
                <w:rFonts w:ascii="Times New Roman"/>
                <w:color w:val="FF0000"/>
                <w:w w:val="99"/>
                <w:sz w:val="21"/>
              </w:rPr>
              <w:t>4</w:t>
            </w:r>
          </w:p>
        </w:tc>
        <w:tc>
          <w:tcPr>
            <w:tcW w:w="4816" w:type="dxa"/>
            <w:tcBorders>
              <w:top w:val="single" w:sz="4" w:space="0" w:color="000000"/>
              <w:left w:val="single" w:sz="4" w:space="0" w:color="000000"/>
              <w:right w:val="single" w:sz="4" w:space="0" w:color="000000"/>
            </w:tcBorders>
          </w:tcPr>
          <w:p>
            <w:pPr>
              <w:pStyle w:val="TableParagraph"/>
              <w:spacing w:line="364" w:lineRule="auto"/>
              <w:ind w:left="118" w:right="276"/>
              <w:jc w:val="both"/>
              <w:rPr>
                <w:sz w:val="21"/>
              </w:rPr>
            </w:pPr>
            <w:r>
              <w:rPr>
                <w:w w:val="95"/>
                <w:sz w:val="21"/>
              </w:rPr>
              <w:t>公众可通过信函、传真、电子邮件等方式向建设 单位或环评单位提交公众意见表，或通过电话方 </w:t>
            </w:r>
            <w:r>
              <w:rPr>
                <w:sz w:val="21"/>
              </w:rPr>
              <w:t>式联系建设单位。</w:t>
            </w:r>
          </w:p>
          <w:p>
            <w:pPr>
              <w:pStyle w:val="TableParagraph"/>
              <w:spacing w:line="269" w:lineRule="exact"/>
              <w:ind w:left="118"/>
              <w:rPr>
                <w:sz w:val="21"/>
              </w:rPr>
            </w:pPr>
            <w:r>
              <w:rPr>
                <w:w w:val="95"/>
                <w:sz w:val="21"/>
              </w:rPr>
              <w:t>建设单位：双鸭山新自矿业有限责任公司</w:t>
            </w:r>
          </w:p>
          <w:p>
            <w:pPr>
              <w:pStyle w:val="TableParagraph"/>
              <w:spacing w:before="138"/>
              <w:ind w:left="118"/>
              <w:rPr>
                <w:sz w:val="21"/>
              </w:rPr>
            </w:pPr>
            <w:r>
              <w:rPr>
                <w:spacing w:val="-4"/>
                <w:sz w:val="21"/>
              </w:rPr>
              <w:t>单位地址：双鸭山市尖山区二马路 </w:t>
            </w:r>
            <w:r>
              <w:rPr>
                <w:rFonts w:ascii="Times New Roman" w:eastAsia="Times New Roman"/>
                <w:sz w:val="21"/>
              </w:rPr>
              <w:t>378</w:t>
            </w:r>
            <w:r>
              <w:rPr>
                <w:rFonts w:ascii="Times New Roman" w:eastAsia="Times New Roman"/>
                <w:spacing w:val="-5"/>
                <w:sz w:val="21"/>
              </w:rPr>
              <w:t> </w:t>
            </w:r>
            <w:r>
              <w:rPr>
                <w:sz w:val="21"/>
              </w:rPr>
              <w:t>号</w:t>
            </w:r>
          </w:p>
        </w:tc>
        <w:tc>
          <w:tcPr>
            <w:tcW w:w="2071" w:type="dxa"/>
            <w:tcBorders>
              <w:top w:val="single" w:sz="4" w:space="0" w:color="000000"/>
              <w:left w:val="single" w:sz="4" w:space="0" w:color="000000"/>
              <w:right w:val="single" w:sz="4" w:space="0" w:color="000000"/>
            </w:tcBorders>
          </w:tcPr>
          <w:p>
            <w:pPr>
              <w:pStyle w:val="TableParagraph"/>
              <w:rPr>
                <w:sz w:val="20"/>
              </w:rPr>
            </w:pPr>
          </w:p>
          <w:p>
            <w:pPr>
              <w:pStyle w:val="TableParagraph"/>
              <w:spacing w:before="9"/>
              <w:rPr>
                <w:sz w:val="27"/>
              </w:rPr>
            </w:pPr>
          </w:p>
          <w:p>
            <w:pPr>
              <w:pStyle w:val="TableParagraph"/>
              <w:spacing w:line="364" w:lineRule="auto"/>
              <w:ind w:left="116" w:right="235"/>
              <w:rPr>
                <w:sz w:val="21"/>
              </w:rPr>
            </w:pPr>
            <w:r>
              <w:rPr>
                <w:sz w:val="21"/>
              </w:rPr>
              <w:t>提交公众意见表的方式和途径</w:t>
            </w:r>
          </w:p>
        </w:tc>
        <w:tc>
          <w:tcPr>
            <w:tcW w:w="1039" w:type="dxa"/>
            <w:tcBorders>
              <w:top w:val="single" w:sz="4" w:space="0" w:color="000000"/>
              <w:left w:val="single" w:sz="4" w:space="0" w:color="000000"/>
              <w:right w:val="nil"/>
            </w:tcBorders>
          </w:tcPr>
          <w:p>
            <w:pPr>
              <w:pStyle w:val="TableParagraph"/>
              <w:rPr>
                <w:sz w:val="20"/>
              </w:rPr>
            </w:pPr>
          </w:p>
          <w:p>
            <w:pPr>
              <w:pStyle w:val="TableParagraph"/>
              <w:rPr>
                <w:sz w:val="20"/>
              </w:rPr>
            </w:pPr>
          </w:p>
          <w:p>
            <w:pPr>
              <w:pStyle w:val="TableParagraph"/>
              <w:spacing w:before="8"/>
              <w:rPr>
                <w:sz w:val="23"/>
              </w:rPr>
            </w:pPr>
          </w:p>
          <w:p>
            <w:pPr>
              <w:pStyle w:val="TableParagraph"/>
              <w:ind w:left="244"/>
              <w:rPr>
                <w:sz w:val="21"/>
              </w:rPr>
            </w:pPr>
            <w:r>
              <w:rPr>
                <w:sz w:val="21"/>
              </w:rPr>
              <w:t>符合</w:t>
            </w:r>
          </w:p>
        </w:tc>
      </w:tr>
    </w:tbl>
    <w:p>
      <w:pPr>
        <w:spacing w:after="0"/>
        <w:rPr>
          <w:sz w:val="21"/>
        </w:rPr>
        <w:sectPr>
          <w:pgSz w:w="11910" w:h="16840"/>
          <w:pgMar w:header="0" w:footer="1055" w:top="1580" w:bottom="1320" w:left="1460" w:right="580"/>
        </w:sectPr>
      </w:pPr>
    </w:p>
    <w:p>
      <w:pPr>
        <w:pStyle w:val="BodyText"/>
        <w:rPr>
          <w:sz w:val="8"/>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4"/>
        <w:gridCol w:w="4816"/>
        <w:gridCol w:w="2071"/>
        <w:gridCol w:w="1039"/>
      </w:tblGrid>
      <w:tr>
        <w:trPr>
          <w:trHeight w:val="3657" w:hRule="atLeast"/>
        </w:trPr>
        <w:tc>
          <w:tcPr>
            <w:tcW w:w="794" w:type="dxa"/>
            <w:tcBorders>
              <w:left w:val="nil"/>
              <w:bottom w:val="single" w:sz="4" w:space="0" w:color="000000"/>
              <w:right w:val="single" w:sz="4" w:space="0" w:color="000000"/>
            </w:tcBorders>
          </w:tcPr>
          <w:p>
            <w:pPr>
              <w:pStyle w:val="TableParagraph"/>
              <w:rPr>
                <w:rFonts w:ascii="Times New Roman"/>
                <w:sz w:val="22"/>
              </w:rPr>
            </w:pPr>
          </w:p>
        </w:tc>
        <w:tc>
          <w:tcPr>
            <w:tcW w:w="4816" w:type="dxa"/>
            <w:tcBorders>
              <w:left w:val="single" w:sz="4" w:space="0" w:color="000000"/>
              <w:bottom w:val="single" w:sz="4" w:space="0" w:color="000000"/>
              <w:right w:val="single" w:sz="4" w:space="0" w:color="000000"/>
            </w:tcBorders>
          </w:tcPr>
          <w:p>
            <w:pPr>
              <w:pStyle w:val="TableParagraph"/>
              <w:spacing w:line="250" w:lineRule="exact"/>
              <w:ind w:left="118"/>
              <w:rPr>
                <w:sz w:val="21"/>
              </w:rPr>
            </w:pPr>
            <w:r>
              <w:rPr>
                <w:sz w:val="21"/>
              </w:rPr>
              <w:t>联系人：邢伟印</w:t>
            </w:r>
          </w:p>
          <w:p>
            <w:pPr>
              <w:pStyle w:val="TableParagraph"/>
              <w:spacing w:before="139"/>
              <w:ind w:left="118"/>
              <w:rPr>
                <w:rFonts w:ascii="Times New Roman" w:eastAsia="Times New Roman"/>
                <w:sz w:val="21"/>
              </w:rPr>
            </w:pPr>
            <w:r>
              <w:rPr>
                <w:sz w:val="21"/>
              </w:rPr>
              <w:t>联系电话：</w:t>
            </w:r>
            <w:r>
              <w:rPr>
                <w:rFonts w:ascii="Times New Roman" w:eastAsia="Times New Roman"/>
                <w:sz w:val="21"/>
              </w:rPr>
              <w:t>13091790296</w:t>
            </w:r>
          </w:p>
          <w:p>
            <w:pPr>
              <w:pStyle w:val="TableParagraph"/>
              <w:spacing w:before="141"/>
              <w:ind w:left="118"/>
              <w:rPr>
                <w:rFonts w:ascii="Times New Roman" w:eastAsia="Times New Roman"/>
                <w:sz w:val="21"/>
              </w:rPr>
            </w:pPr>
            <w:r>
              <w:rPr>
                <w:rFonts w:ascii="Times New Roman" w:eastAsia="Times New Roman"/>
                <w:sz w:val="21"/>
              </w:rPr>
              <w:t>E-mail</w:t>
            </w:r>
            <w:r>
              <w:rPr>
                <w:sz w:val="21"/>
              </w:rPr>
              <w:t>：</w:t>
            </w:r>
            <w:hyperlink r:id="rId6">
              <w:r>
                <w:rPr>
                  <w:rFonts w:ascii="Times New Roman" w:eastAsia="Times New Roman"/>
                  <w:sz w:val="21"/>
                </w:rPr>
                <w:t>sxsdky4285671@126.com</w:t>
              </w:r>
            </w:hyperlink>
          </w:p>
          <w:p>
            <w:pPr>
              <w:pStyle w:val="TableParagraph"/>
              <w:spacing w:line="364" w:lineRule="auto" w:before="139"/>
              <w:ind w:left="118" w:right="268"/>
              <w:rPr>
                <w:sz w:val="21"/>
              </w:rPr>
            </w:pPr>
            <w:r>
              <w:rPr>
                <w:sz w:val="21"/>
              </w:rPr>
              <w:t>环评单位：黑龙江科大欣欣环保科技有限公司 </w:t>
            </w:r>
            <w:r>
              <w:rPr>
                <w:spacing w:val="-4"/>
                <w:sz w:val="21"/>
              </w:rPr>
              <w:t>单位地址：哈尔滨市松北区华美太古广场 </w:t>
            </w:r>
            <w:r>
              <w:rPr>
                <w:rFonts w:ascii="Times New Roman" w:eastAsia="Times New Roman"/>
                <w:sz w:val="21"/>
              </w:rPr>
              <w:t>S38</w:t>
            </w:r>
            <w:r>
              <w:rPr>
                <w:rFonts w:ascii="Times New Roman" w:eastAsia="Times New Roman"/>
                <w:spacing w:val="-6"/>
                <w:sz w:val="21"/>
              </w:rPr>
              <w:t> </w:t>
            </w:r>
            <w:r>
              <w:rPr>
                <w:sz w:val="21"/>
              </w:rPr>
              <w:t>栋</w:t>
            </w:r>
            <w:r>
              <w:rPr>
                <w:rFonts w:ascii="Times New Roman" w:eastAsia="Times New Roman"/>
                <w:sz w:val="21"/>
              </w:rPr>
              <w:t>Q38</w:t>
            </w:r>
            <w:r>
              <w:rPr>
                <w:rFonts w:ascii="Times New Roman" w:eastAsia="Times New Roman"/>
                <w:spacing w:val="-2"/>
                <w:sz w:val="21"/>
              </w:rPr>
              <w:t> </w:t>
            </w:r>
            <w:r>
              <w:rPr>
                <w:sz w:val="21"/>
              </w:rPr>
              <w:t>号</w:t>
            </w:r>
          </w:p>
          <w:p>
            <w:pPr>
              <w:pStyle w:val="TableParagraph"/>
              <w:spacing w:line="269" w:lineRule="exact"/>
              <w:ind w:left="118"/>
              <w:rPr>
                <w:sz w:val="21"/>
              </w:rPr>
            </w:pPr>
            <w:r>
              <w:rPr>
                <w:sz w:val="21"/>
              </w:rPr>
              <w:t>联系人：杨工</w:t>
            </w:r>
          </w:p>
          <w:p>
            <w:pPr>
              <w:pStyle w:val="TableParagraph"/>
              <w:spacing w:before="139"/>
              <w:ind w:left="118"/>
              <w:rPr>
                <w:rFonts w:ascii="Times New Roman" w:eastAsia="Times New Roman"/>
                <w:sz w:val="21"/>
              </w:rPr>
            </w:pPr>
            <w:r>
              <w:rPr>
                <w:sz w:val="21"/>
              </w:rPr>
              <w:t>联系电话：</w:t>
            </w:r>
            <w:r>
              <w:rPr>
                <w:rFonts w:ascii="Times New Roman" w:eastAsia="Times New Roman"/>
                <w:sz w:val="21"/>
              </w:rPr>
              <w:t>0451-51089648</w:t>
            </w:r>
          </w:p>
          <w:p>
            <w:pPr>
              <w:pStyle w:val="TableParagraph"/>
              <w:spacing w:before="139"/>
              <w:ind w:left="118"/>
              <w:rPr>
                <w:rFonts w:ascii="Times New Roman" w:eastAsia="Times New Roman"/>
                <w:sz w:val="21"/>
              </w:rPr>
            </w:pPr>
            <w:r>
              <w:rPr>
                <w:rFonts w:ascii="Times New Roman" w:eastAsia="Times New Roman"/>
                <w:sz w:val="21"/>
              </w:rPr>
              <w:t>mail</w:t>
            </w:r>
            <w:r>
              <w:rPr>
                <w:sz w:val="21"/>
              </w:rPr>
              <w:t>：</w:t>
            </w:r>
            <w:hyperlink r:id="rId14">
              <w:r>
                <w:rPr>
                  <w:rFonts w:ascii="Times New Roman" w:eastAsia="Times New Roman"/>
                  <w:sz w:val="21"/>
                </w:rPr>
                <w:t>hkdhpzx@163.com</w:t>
              </w:r>
            </w:hyperlink>
          </w:p>
        </w:tc>
        <w:tc>
          <w:tcPr>
            <w:tcW w:w="2071"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39" w:type="dxa"/>
            <w:tcBorders>
              <w:left w:val="single" w:sz="4" w:space="0" w:color="000000"/>
              <w:bottom w:val="single" w:sz="4" w:space="0" w:color="000000"/>
              <w:right w:val="nil"/>
            </w:tcBorders>
          </w:tcPr>
          <w:p>
            <w:pPr>
              <w:pStyle w:val="TableParagraph"/>
              <w:rPr>
                <w:rFonts w:ascii="Times New Roman"/>
                <w:sz w:val="22"/>
              </w:rPr>
            </w:pPr>
          </w:p>
        </w:tc>
      </w:tr>
      <w:tr>
        <w:trPr>
          <w:trHeight w:val="2041" w:hRule="atLeast"/>
        </w:trPr>
        <w:tc>
          <w:tcPr>
            <w:tcW w:w="794" w:type="dxa"/>
            <w:tcBorders>
              <w:top w:val="single" w:sz="4" w:space="0" w:color="000000"/>
              <w:left w:val="nil"/>
              <w:right w:val="single" w:sz="4" w:space="0" w:color="000000"/>
            </w:tcBorders>
          </w:tcPr>
          <w:p>
            <w:pPr>
              <w:pStyle w:val="TableParagraph"/>
              <w:rPr>
                <w:sz w:val="22"/>
              </w:rPr>
            </w:pPr>
          </w:p>
          <w:p>
            <w:pPr>
              <w:pStyle w:val="TableParagraph"/>
              <w:rPr>
                <w:sz w:val="22"/>
              </w:rPr>
            </w:pPr>
          </w:p>
          <w:p>
            <w:pPr>
              <w:pStyle w:val="TableParagraph"/>
              <w:spacing w:before="6"/>
              <w:rPr>
                <w:sz w:val="21"/>
              </w:rPr>
            </w:pPr>
          </w:p>
          <w:p>
            <w:pPr>
              <w:pStyle w:val="TableParagraph"/>
              <w:ind w:right="110"/>
              <w:jc w:val="center"/>
              <w:rPr>
                <w:rFonts w:ascii="Times New Roman"/>
                <w:sz w:val="21"/>
              </w:rPr>
            </w:pPr>
            <w:r>
              <w:rPr>
                <w:rFonts w:ascii="Times New Roman"/>
                <w:w w:val="99"/>
                <w:sz w:val="21"/>
              </w:rPr>
              <w:t>5</w:t>
            </w:r>
          </w:p>
        </w:tc>
        <w:tc>
          <w:tcPr>
            <w:tcW w:w="4816" w:type="dxa"/>
            <w:tcBorders>
              <w:top w:val="single" w:sz="4" w:space="0" w:color="000000"/>
              <w:left w:val="single" w:sz="4" w:space="0" w:color="000000"/>
              <w:right w:val="single" w:sz="4" w:space="0" w:color="000000"/>
            </w:tcBorders>
          </w:tcPr>
          <w:p>
            <w:pPr>
              <w:pStyle w:val="TableParagraph"/>
              <w:spacing w:line="364" w:lineRule="auto"/>
              <w:ind w:left="118" w:right="235"/>
              <w:rPr>
                <w:sz w:val="21"/>
              </w:rPr>
            </w:pPr>
            <w:r>
              <w:rPr>
                <w:spacing w:val="-5"/>
                <w:sz w:val="21"/>
              </w:rPr>
              <w:t>公众可在本项目公示之日起至 </w:t>
            </w:r>
            <w:r>
              <w:rPr>
                <w:rFonts w:ascii="Times New Roman" w:eastAsia="Times New Roman"/>
                <w:sz w:val="21"/>
              </w:rPr>
              <w:t>10 </w:t>
            </w:r>
            <w:r>
              <w:rPr>
                <w:spacing w:val="-10"/>
                <w:sz w:val="21"/>
              </w:rPr>
              <w:t>个工作日内，向建设单位提出宝贵意见。</w:t>
            </w:r>
          </w:p>
        </w:tc>
        <w:tc>
          <w:tcPr>
            <w:tcW w:w="2071" w:type="dxa"/>
            <w:tcBorders>
              <w:top w:val="single" w:sz="4" w:space="0" w:color="000000"/>
              <w:left w:val="single" w:sz="4" w:space="0" w:color="000000"/>
              <w:right w:val="single" w:sz="4" w:space="0" w:color="000000"/>
            </w:tcBorders>
          </w:tcPr>
          <w:p>
            <w:pPr>
              <w:pStyle w:val="TableParagraph"/>
              <w:spacing w:line="364" w:lineRule="auto"/>
              <w:ind w:left="116" w:right="235"/>
              <w:rPr>
                <w:sz w:val="21"/>
              </w:rPr>
            </w:pPr>
            <w:r>
              <w:rPr>
                <w:sz w:val="21"/>
              </w:rPr>
              <w:t>公众提出意见的起止时间。</w:t>
            </w:r>
          </w:p>
          <w:p>
            <w:pPr>
              <w:pStyle w:val="TableParagraph"/>
              <w:spacing w:line="364" w:lineRule="auto"/>
              <w:ind w:left="116" w:right="235"/>
              <w:rPr>
                <w:sz w:val="21"/>
              </w:rPr>
            </w:pPr>
            <w:r>
              <w:rPr>
                <w:sz w:val="21"/>
              </w:rPr>
              <w:t>建设单位征求公众意见的期限不得少</w:t>
            </w:r>
          </w:p>
          <w:p>
            <w:pPr>
              <w:pStyle w:val="TableParagraph"/>
              <w:spacing w:line="267" w:lineRule="exact"/>
              <w:ind w:left="116"/>
              <w:rPr>
                <w:sz w:val="21"/>
              </w:rPr>
            </w:pPr>
            <w:r>
              <w:rPr>
                <w:sz w:val="21"/>
              </w:rPr>
              <w:t>于 </w:t>
            </w:r>
            <w:r>
              <w:rPr>
                <w:rFonts w:ascii="Times New Roman" w:eastAsia="Times New Roman"/>
                <w:sz w:val="21"/>
              </w:rPr>
              <w:t>10 </w:t>
            </w:r>
            <w:r>
              <w:rPr>
                <w:sz w:val="21"/>
              </w:rPr>
              <w:t>个工作日。</w:t>
            </w:r>
          </w:p>
        </w:tc>
        <w:tc>
          <w:tcPr>
            <w:tcW w:w="1039" w:type="dxa"/>
            <w:tcBorders>
              <w:top w:val="single" w:sz="4" w:space="0" w:color="000000"/>
              <w:left w:val="single" w:sz="4" w:space="0" w:color="000000"/>
              <w:right w:val="nil"/>
            </w:tcBorders>
          </w:tcPr>
          <w:p>
            <w:pPr>
              <w:pStyle w:val="TableParagraph"/>
              <w:rPr>
                <w:sz w:val="20"/>
              </w:rPr>
            </w:pPr>
          </w:p>
          <w:p>
            <w:pPr>
              <w:pStyle w:val="TableParagraph"/>
              <w:rPr>
                <w:sz w:val="20"/>
              </w:rPr>
            </w:pPr>
          </w:p>
          <w:p>
            <w:pPr>
              <w:pStyle w:val="TableParagraph"/>
              <w:spacing w:before="8"/>
              <w:rPr>
                <w:sz w:val="23"/>
              </w:rPr>
            </w:pPr>
          </w:p>
          <w:p>
            <w:pPr>
              <w:pStyle w:val="TableParagraph"/>
              <w:ind w:left="244"/>
              <w:rPr>
                <w:sz w:val="21"/>
              </w:rPr>
            </w:pPr>
            <w:r>
              <w:rPr>
                <w:sz w:val="21"/>
              </w:rPr>
              <w:t>符合</w:t>
            </w:r>
          </w:p>
        </w:tc>
      </w:tr>
    </w:tbl>
    <w:p>
      <w:pPr>
        <w:pStyle w:val="BodyText"/>
        <w:spacing w:before="3"/>
        <w:rPr>
          <w:sz w:val="12"/>
        </w:rPr>
      </w:pPr>
    </w:p>
    <w:p>
      <w:pPr>
        <w:pStyle w:val="Heading2"/>
        <w:numPr>
          <w:ilvl w:val="1"/>
          <w:numId w:val="2"/>
        </w:numPr>
        <w:tabs>
          <w:tab w:pos="765" w:val="left" w:leader="none"/>
        </w:tabs>
        <w:spacing w:line="240" w:lineRule="auto" w:before="70" w:after="0"/>
        <w:ind w:left="764" w:right="0" w:hanging="524"/>
        <w:jc w:val="left"/>
      </w:pPr>
      <w:bookmarkStart w:name="3.2 公开方式" w:id="22"/>
      <w:bookmarkEnd w:id="22"/>
      <w:r>
        <w:rPr/>
      </w:r>
      <w:bookmarkStart w:name="_bookmark7" w:id="23"/>
      <w:bookmarkEnd w:id="23"/>
      <w:r>
        <w:rPr/>
      </w:r>
      <w:bookmarkStart w:name="_bookmark7" w:id="24"/>
      <w:bookmarkEnd w:id="24"/>
      <w:r>
        <w:rPr/>
        <w:t>公开方式</w:t>
      </w:r>
    </w:p>
    <w:p>
      <w:pPr>
        <w:pStyle w:val="Heading3"/>
        <w:numPr>
          <w:ilvl w:val="2"/>
          <w:numId w:val="2"/>
        </w:numPr>
        <w:tabs>
          <w:tab w:pos="940" w:val="left" w:leader="none"/>
        </w:tabs>
        <w:spacing w:line="240" w:lineRule="auto" w:before="226" w:after="0"/>
        <w:ind w:left="940" w:right="0" w:hanging="699"/>
        <w:jc w:val="left"/>
      </w:pPr>
      <w:r>
        <w:rPr/>
        <w:t>网络</w:t>
      </w:r>
    </w:p>
    <w:p>
      <w:pPr>
        <w:spacing w:line="364" w:lineRule="auto" w:before="183"/>
        <w:ind w:left="241" w:right="960" w:firstLine="559"/>
        <w:jc w:val="left"/>
        <w:rPr>
          <w:sz w:val="28"/>
        </w:rPr>
      </w:pPr>
      <w:r>
        <w:rPr>
          <w:sz w:val="28"/>
        </w:rPr>
        <w:t>载体：双鸭山市岭东区人民政府网（</w:t>
      </w:r>
      <w:hyperlink r:id="rId8">
        <w:r>
          <w:rPr>
            <w:rFonts w:ascii="Times New Roman" w:eastAsia="Times New Roman"/>
            <w:sz w:val="28"/>
          </w:rPr>
          <w:t>http://www.sysld.gov.cn/</w:t>
        </w:r>
      </w:hyperlink>
      <w:r>
        <w:rPr>
          <w:sz w:val="28"/>
        </w:rPr>
        <w:t>）， 属于建设项目所在地公共媒体网站；网络公示时间为 </w:t>
      </w:r>
      <w:r>
        <w:rPr>
          <w:rFonts w:ascii="Times New Roman" w:eastAsia="Times New Roman"/>
          <w:sz w:val="28"/>
        </w:rPr>
        <w:t>2020 </w:t>
      </w:r>
      <w:r>
        <w:rPr>
          <w:spacing w:val="-31"/>
          <w:sz w:val="28"/>
        </w:rPr>
        <w:t>年 </w:t>
      </w:r>
      <w:r>
        <w:rPr>
          <w:rFonts w:ascii="Times New Roman" w:eastAsia="Times New Roman"/>
          <w:sz w:val="28"/>
        </w:rPr>
        <w:t>6 </w:t>
      </w:r>
      <w:r>
        <w:rPr>
          <w:spacing w:val="-32"/>
          <w:sz w:val="28"/>
        </w:rPr>
        <w:t>月 </w:t>
      </w:r>
      <w:r>
        <w:rPr>
          <w:rFonts w:ascii="Times New Roman" w:eastAsia="Times New Roman"/>
          <w:sz w:val="28"/>
        </w:rPr>
        <w:t>22 </w:t>
      </w:r>
      <w:r>
        <w:rPr>
          <w:spacing w:val="-14"/>
          <w:sz w:val="28"/>
        </w:rPr>
        <w:t>日；网址：</w:t>
      </w:r>
      <w:hyperlink r:id="rId9">
        <w:r>
          <w:rPr>
            <w:rFonts w:ascii="Times New Roman" w:eastAsia="Times New Roman"/>
            <w:spacing w:val="-2"/>
            <w:sz w:val="28"/>
          </w:rPr>
          <w:t>http://www.sysld.gov.cn/newsHtmlPage/20200622/19237.html</w:t>
        </w:r>
      </w:hyperlink>
      <w:r>
        <w:rPr>
          <w:spacing w:val="-2"/>
          <w:sz w:val="28"/>
        </w:rPr>
        <w:t>； 截图如下：</w:t>
      </w:r>
    </w:p>
    <w:p>
      <w:pPr>
        <w:spacing w:after="0" w:line="364" w:lineRule="auto"/>
        <w:jc w:val="left"/>
        <w:rPr>
          <w:sz w:val="28"/>
        </w:rPr>
        <w:sectPr>
          <w:pgSz w:w="11910" w:h="16840"/>
          <w:pgMar w:header="0" w:footer="1055" w:top="1580" w:bottom="1320" w:left="1460" w:right="580"/>
        </w:sectPr>
      </w:pPr>
    </w:p>
    <w:p>
      <w:pPr>
        <w:pStyle w:val="BodyText"/>
        <w:spacing w:before="2"/>
        <w:rPr>
          <w:rFonts w:ascii="Times New Roman"/>
          <w:sz w:val="19"/>
        </w:rPr>
      </w:pPr>
    </w:p>
    <w:p>
      <w:pPr>
        <w:pStyle w:val="BodyText"/>
        <w:ind w:left="241" w:right="-29"/>
        <w:rPr>
          <w:rFonts w:ascii="Times New Roman"/>
          <w:sz w:val="20"/>
        </w:rPr>
      </w:pPr>
      <w:r>
        <w:rPr>
          <w:rFonts w:ascii="Times New Roman"/>
          <w:sz w:val="20"/>
        </w:rPr>
        <w:drawing>
          <wp:inline distT="0" distB="0" distL="0" distR="0">
            <wp:extent cx="6100879" cy="445436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6100879" cy="4454366"/>
                    </a:xfrm>
                    <a:prstGeom prst="rect">
                      <a:avLst/>
                    </a:prstGeom>
                  </pic:spPr>
                </pic:pic>
              </a:graphicData>
            </a:graphic>
          </wp:inline>
        </w:drawing>
      </w:r>
      <w:r>
        <w:rPr>
          <w:rFonts w:ascii="Times New Roman"/>
          <w:sz w:val="20"/>
        </w:rPr>
      </w:r>
    </w:p>
    <w:p>
      <w:pPr>
        <w:pStyle w:val="BodyText"/>
        <w:spacing w:before="7"/>
        <w:rPr>
          <w:rFonts w:ascii="Times New Roman"/>
          <w:sz w:val="6"/>
        </w:rPr>
      </w:pPr>
      <w:r>
        <w:rPr/>
        <w:drawing>
          <wp:anchor distT="0" distB="0" distL="0" distR="0" allowOverlap="1" layoutInCell="1" locked="0" behindDoc="0" simplePos="0" relativeHeight="0">
            <wp:simplePos x="0" y="0"/>
            <wp:positionH relativeFrom="page">
              <wp:posOffset>1080516</wp:posOffset>
            </wp:positionH>
            <wp:positionV relativeFrom="paragraph">
              <wp:posOffset>73278</wp:posOffset>
            </wp:positionV>
            <wp:extent cx="5466721" cy="4034313"/>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6" cstate="print"/>
                    <a:stretch>
                      <a:fillRect/>
                    </a:stretch>
                  </pic:blipFill>
                  <pic:spPr>
                    <a:xfrm>
                      <a:off x="0" y="0"/>
                      <a:ext cx="5466721" cy="4034313"/>
                    </a:xfrm>
                    <a:prstGeom prst="rect">
                      <a:avLst/>
                    </a:prstGeom>
                  </pic:spPr>
                </pic:pic>
              </a:graphicData>
            </a:graphic>
          </wp:anchor>
        </w:drawing>
      </w:r>
    </w:p>
    <w:p>
      <w:pPr>
        <w:spacing w:after="0"/>
        <w:rPr>
          <w:rFonts w:ascii="Times New Roman"/>
          <w:sz w:val="6"/>
        </w:rPr>
        <w:sectPr>
          <w:pgSz w:w="11910" w:h="16840"/>
          <w:pgMar w:header="0" w:footer="1055" w:top="1580" w:bottom="1240" w:left="1460" w:right="580"/>
        </w:sectPr>
      </w:pPr>
    </w:p>
    <w:p>
      <w:pPr>
        <w:pStyle w:val="BodyText"/>
        <w:spacing w:before="3"/>
        <w:rPr>
          <w:rFonts w:ascii="Times New Roman"/>
          <w:sz w:val="36"/>
        </w:rPr>
      </w:pPr>
    </w:p>
    <w:p>
      <w:pPr>
        <w:pStyle w:val="ListParagraph"/>
        <w:numPr>
          <w:ilvl w:val="2"/>
          <w:numId w:val="2"/>
        </w:numPr>
        <w:tabs>
          <w:tab w:pos="940" w:val="left" w:leader="none"/>
        </w:tabs>
        <w:spacing w:line="240" w:lineRule="auto" w:before="0" w:after="0"/>
        <w:ind w:left="940" w:right="0" w:hanging="699"/>
        <w:jc w:val="left"/>
        <w:rPr>
          <w:sz w:val="28"/>
        </w:rPr>
      </w:pPr>
      <w:r>
        <w:rPr>
          <w:sz w:val="28"/>
        </w:rPr>
        <w:t>报纸</w:t>
      </w:r>
    </w:p>
    <w:p>
      <w:pPr>
        <w:tabs>
          <w:tab w:pos="901" w:val="left" w:leader="none"/>
        </w:tabs>
        <w:spacing w:before="104"/>
        <w:ind w:left="241" w:right="0" w:firstLine="0"/>
        <w:jc w:val="left"/>
        <w:rPr>
          <w:b/>
          <w:sz w:val="24"/>
        </w:rPr>
      </w:pPr>
      <w:r>
        <w:rPr/>
        <w:br w:type="column"/>
      </w:r>
      <w:r>
        <w:rPr>
          <w:b/>
          <w:sz w:val="24"/>
        </w:rPr>
        <w:t>图</w:t>
      </w:r>
      <w:r>
        <w:rPr>
          <w:b/>
          <w:spacing w:val="-62"/>
          <w:sz w:val="24"/>
        </w:rPr>
        <w:t> </w:t>
      </w:r>
      <w:r>
        <w:rPr>
          <w:rFonts w:ascii="Times New Roman" w:eastAsia="Times New Roman"/>
          <w:b/>
          <w:sz w:val="24"/>
        </w:rPr>
        <w:t>2</w:t>
        <w:tab/>
      </w:r>
      <w:r>
        <w:rPr>
          <w:b/>
          <w:sz w:val="24"/>
        </w:rPr>
        <w:t>第二次公告截图</w:t>
      </w:r>
    </w:p>
    <w:p>
      <w:pPr>
        <w:spacing w:after="0"/>
        <w:jc w:val="left"/>
        <w:rPr>
          <w:sz w:val="24"/>
        </w:rPr>
        <w:sectPr>
          <w:pgSz w:w="11910" w:h="16840"/>
          <w:pgMar w:header="0" w:footer="1055" w:top="1580" w:bottom="1240" w:left="1460" w:right="580"/>
          <w:cols w:num="2" w:equalWidth="0">
            <w:col w:w="1542" w:space="1539"/>
            <w:col w:w="6789"/>
          </w:cols>
        </w:sectPr>
      </w:pPr>
    </w:p>
    <w:p>
      <w:pPr>
        <w:pStyle w:val="BodyText"/>
        <w:spacing w:before="7"/>
        <w:rPr>
          <w:b/>
          <w:sz w:val="9"/>
        </w:rPr>
      </w:pPr>
    </w:p>
    <w:p>
      <w:pPr>
        <w:spacing w:line="367" w:lineRule="auto" w:before="61"/>
        <w:ind w:left="241" w:right="1116" w:firstLine="559"/>
        <w:jc w:val="left"/>
        <w:rPr>
          <w:sz w:val="28"/>
        </w:rPr>
      </w:pPr>
      <w:r>
        <w:rPr>
          <w:sz w:val="28"/>
        </w:rPr>
        <w:t>载体：双鸭山日报，属于建设项目所在地公共易于接触的报纸； 报纸公示时间分别为 </w:t>
      </w:r>
      <w:r>
        <w:rPr>
          <w:rFonts w:ascii="Times New Roman" w:eastAsia="Times New Roman"/>
          <w:sz w:val="28"/>
        </w:rPr>
        <w:t>2020 </w:t>
      </w:r>
      <w:r>
        <w:rPr>
          <w:spacing w:val="-34"/>
          <w:sz w:val="28"/>
        </w:rPr>
        <w:t>年 </w:t>
      </w:r>
      <w:r>
        <w:rPr>
          <w:rFonts w:ascii="Times New Roman" w:eastAsia="Times New Roman"/>
          <w:sz w:val="28"/>
        </w:rPr>
        <w:t>10 </w:t>
      </w:r>
      <w:r>
        <w:rPr>
          <w:spacing w:val="-34"/>
          <w:sz w:val="28"/>
        </w:rPr>
        <w:t>月 </w:t>
      </w:r>
      <w:r>
        <w:rPr>
          <w:rFonts w:ascii="Times New Roman" w:eastAsia="Times New Roman"/>
          <w:sz w:val="28"/>
        </w:rPr>
        <w:t>21 </w:t>
      </w:r>
      <w:r>
        <w:rPr>
          <w:spacing w:val="-23"/>
          <w:sz w:val="28"/>
        </w:rPr>
        <w:t>日和 </w:t>
      </w:r>
      <w:r>
        <w:rPr>
          <w:rFonts w:ascii="Times New Roman" w:eastAsia="Times New Roman"/>
          <w:sz w:val="28"/>
        </w:rPr>
        <w:t>2020</w:t>
      </w:r>
      <w:r>
        <w:rPr>
          <w:rFonts w:ascii="Times New Roman" w:eastAsia="Times New Roman"/>
          <w:spacing w:val="2"/>
          <w:sz w:val="28"/>
        </w:rPr>
        <w:t> </w:t>
      </w:r>
      <w:r>
        <w:rPr>
          <w:spacing w:val="-35"/>
          <w:sz w:val="28"/>
        </w:rPr>
        <w:t>年 </w:t>
      </w:r>
      <w:r>
        <w:rPr>
          <w:rFonts w:ascii="Times New Roman" w:eastAsia="Times New Roman"/>
          <w:sz w:val="28"/>
        </w:rPr>
        <w:t>10</w:t>
      </w:r>
      <w:r>
        <w:rPr>
          <w:rFonts w:ascii="Times New Roman" w:eastAsia="Times New Roman"/>
          <w:spacing w:val="2"/>
          <w:sz w:val="28"/>
        </w:rPr>
        <w:t> </w:t>
      </w:r>
      <w:r>
        <w:rPr>
          <w:spacing w:val="-35"/>
          <w:sz w:val="28"/>
        </w:rPr>
        <w:t>月 </w:t>
      </w:r>
      <w:r>
        <w:rPr>
          <w:rFonts w:ascii="Times New Roman" w:eastAsia="Times New Roman"/>
          <w:sz w:val="28"/>
        </w:rPr>
        <w:t>22</w:t>
      </w:r>
      <w:r>
        <w:rPr>
          <w:rFonts w:ascii="Times New Roman" w:eastAsia="Times New Roman"/>
          <w:spacing w:val="-1"/>
          <w:sz w:val="28"/>
        </w:rPr>
        <w:t> </w:t>
      </w:r>
      <w:r>
        <w:rPr>
          <w:sz w:val="28"/>
        </w:rPr>
        <w:t>日，符合</w:t>
      </w:r>
    </w:p>
    <w:p>
      <w:pPr>
        <w:spacing w:line="353" w:lineRule="exact" w:before="0"/>
        <w:ind w:left="241" w:right="0" w:firstLine="0"/>
        <w:jc w:val="left"/>
        <w:rPr>
          <w:sz w:val="28"/>
        </w:rPr>
      </w:pPr>
      <w:r>
        <w:rPr>
          <w:spacing w:val="-11"/>
          <w:sz w:val="28"/>
        </w:rPr>
        <w:t>《办法》中要求的在征求意见稿公示的 </w:t>
      </w:r>
      <w:r>
        <w:rPr>
          <w:rFonts w:ascii="Times New Roman" w:eastAsia="Times New Roman"/>
          <w:sz w:val="28"/>
        </w:rPr>
        <w:t>10</w:t>
      </w:r>
      <w:r>
        <w:rPr>
          <w:rFonts w:ascii="Times New Roman" w:eastAsia="Times New Roman"/>
          <w:spacing w:val="4"/>
          <w:sz w:val="28"/>
        </w:rPr>
        <w:t> </w:t>
      </w:r>
      <w:r>
        <w:rPr>
          <w:spacing w:val="-3"/>
          <w:sz w:val="28"/>
        </w:rPr>
        <w:t>个工作日内报纸公开信息不</w:t>
      </w:r>
    </w:p>
    <w:p>
      <w:pPr>
        <w:spacing w:line="362" w:lineRule="auto" w:before="187"/>
        <w:ind w:left="800" w:right="7031" w:hanging="560"/>
        <w:jc w:val="left"/>
        <w:rPr>
          <w:sz w:val="28"/>
        </w:rPr>
      </w:pPr>
      <w:r>
        <w:rPr/>
        <w:drawing>
          <wp:anchor distT="0" distB="0" distL="0" distR="0" allowOverlap="1" layoutInCell="1" locked="0" behindDoc="0" simplePos="0" relativeHeight="1">
            <wp:simplePos x="0" y="0"/>
            <wp:positionH relativeFrom="page">
              <wp:posOffset>1080516</wp:posOffset>
            </wp:positionH>
            <wp:positionV relativeFrom="paragraph">
              <wp:posOffset>870457</wp:posOffset>
            </wp:positionV>
            <wp:extent cx="5537103" cy="1863566"/>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7" cstate="print"/>
                    <a:stretch>
                      <a:fillRect/>
                    </a:stretch>
                  </pic:blipFill>
                  <pic:spPr>
                    <a:xfrm>
                      <a:off x="0" y="0"/>
                      <a:ext cx="5537103" cy="1863566"/>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1080516</wp:posOffset>
            </wp:positionH>
            <wp:positionV relativeFrom="paragraph">
              <wp:posOffset>2885185</wp:posOffset>
            </wp:positionV>
            <wp:extent cx="5656763" cy="3991927"/>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5656763" cy="3991927"/>
                    </a:xfrm>
                    <a:prstGeom prst="rect">
                      <a:avLst/>
                    </a:prstGeom>
                  </pic:spPr>
                </pic:pic>
              </a:graphicData>
            </a:graphic>
          </wp:anchor>
        </w:drawing>
      </w:r>
      <w:r>
        <w:rPr>
          <w:sz w:val="28"/>
        </w:rPr>
        <w:t>得少于 </w:t>
      </w:r>
      <w:r>
        <w:rPr>
          <w:rFonts w:ascii="Times New Roman" w:eastAsia="Times New Roman"/>
          <w:sz w:val="28"/>
        </w:rPr>
        <w:t>2 </w:t>
      </w:r>
      <w:r>
        <w:rPr>
          <w:sz w:val="28"/>
        </w:rPr>
        <w:t>次的规定。照片如下：</w:t>
      </w:r>
    </w:p>
    <w:p>
      <w:pPr>
        <w:pStyle w:val="BodyText"/>
        <w:spacing w:before="3"/>
        <w:rPr>
          <w:sz w:val="13"/>
        </w:rPr>
      </w:pPr>
    </w:p>
    <w:p>
      <w:pPr>
        <w:tabs>
          <w:tab w:pos="3803" w:val="left" w:leader="none"/>
        </w:tabs>
        <w:spacing w:before="88"/>
        <w:ind w:left="3143" w:right="0" w:firstLine="0"/>
        <w:jc w:val="left"/>
        <w:rPr>
          <w:b/>
          <w:sz w:val="24"/>
        </w:rPr>
      </w:pPr>
      <w:r>
        <w:rPr>
          <w:b/>
          <w:sz w:val="24"/>
        </w:rPr>
        <w:t>图</w:t>
      </w:r>
      <w:r>
        <w:rPr>
          <w:b/>
          <w:spacing w:val="-62"/>
          <w:sz w:val="24"/>
        </w:rPr>
        <w:t> </w:t>
      </w:r>
      <w:r>
        <w:rPr>
          <w:rFonts w:ascii="Times New Roman" w:eastAsia="Times New Roman"/>
          <w:b/>
          <w:sz w:val="24"/>
        </w:rPr>
        <w:t>3</w:t>
        <w:tab/>
      </w:r>
      <w:r>
        <w:rPr>
          <w:b/>
          <w:sz w:val="24"/>
        </w:rPr>
        <w:t>报纸公示截图（</w:t>
      </w:r>
      <w:r>
        <w:rPr>
          <w:rFonts w:ascii="Times New Roman" w:eastAsia="Times New Roman"/>
          <w:b/>
          <w:sz w:val="24"/>
        </w:rPr>
        <w:t>1</w:t>
      </w:r>
      <w:r>
        <w:rPr>
          <w:b/>
          <w:sz w:val="24"/>
        </w:rPr>
        <w:t>）</w:t>
      </w:r>
    </w:p>
    <w:p>
      <w:pPr>
        <w:spacing w:after="0"/>
        <w:jc w:val="left"/>
        <w:rPr>
          <w:sz w:val="24"/>
        </w:rPr>
        <w:sectPr>
          <w:type w:val="continuous"/>
          <w:pgSz w:w="11910" w:h="16840"/>
          <w:pgMar w:top="1580" w:bottom="280" w:left="1460" w:right="580"/>
        </w:sectPr>
      </w:pPr>
    </w:p>
    <w:p>
      <w:pPr>
        <w:pStyle w:val="BodyText"/>
        <w:spacing w:after="1"/>
        <w:rPr>
          <w:b/>
          <w:sz w:val="20"/>
        </w:rPr>
      </w:pPr>
    </w:p>
    <w:p>
      <w:pPr>
        <w:pStyle w:val="BodyText"/>
        <w:ind w:left="241"/>
        <w:rPr>
          <w:sz w:val="20"/>
        </w:rPr>
      </w:pPr>
      <w:r>
        <w:rPr>
          <w:sz w:val="20"/>
        </w:rPr>
        <w:drawing>
          <wp:inline distT="0" distB="0" distL="0" distR="0">
            <wp:extent cx="5410581" cy="159305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5410581" cy="1593056"/>
                    </a:xfrm>
                    <a:prstGeom prst="rect">
                      <a:avLst/>
                    </a:prstGeom>
                  </pic:spPr>
                </pic:pic>
              </a:graphicData>
            </a:graphic>
          </wp:inline>
        </w:drawing>
      </w:r>
      <w:r>
        <w:rPr>
          <w:sz w:val="20"/>
        </w:rPr>
      </w:r>
    </w:p>
    <w:p>
      <w:pPr>
        <w:pStyle w:val="BodyText"/>
        <w:spacing w:before="5"/>
        <w:rPr>
          <w:b/>
          <w:sz w:val="15"/>
        </w:rPr>
      </w:pPr>
      <w:r>
        <w:rPr/>
        <w:drawing>
          <wp:anchor distT="0" distB="0" distL="0" distR="0" allowOverlap="1" layoutInCell="1" locked="0" behindDoc="0" simplePos="0" relativeHeight="3">
            <wp:simplePos x="0" y="0"/>
            <wp:positionH relativeFrom="page">
              <wp:posOffset>1080516</wp:posOffset>
            </wp:positionH>
            <wp:positionV relativeFrom="paragraph">
              <wp:posOffset>150240</wp:posOffset>
            </wp:positionV>
            <wp:extent cx="5348735" cy="401192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0" cstate="print"/>
                    <a:stretch>
                      <a:fillRect/>
                    </a:stretch>
                  </pic:blipFill>
                  <pic:spPr>
                    <a:xfrm>
                      <a:off x="0" y="0"/>
                      <a:ext cx="5348735" cy="4011929"/>
                    </a:xfrm>
                    <a:prstGeom prst="rect">
                      <a:avLst/>
                    </a:prstGeom>
                  </pic:spPr>
                </pic:pic>
              </a:graphicData>
            </a:graphic>
          </wp:anchor>
        </w:drawing>
      </w:r>
    </w:p>
    <w:p>
      <w:pPr>
        <w:pStyle w:val="BodyText"/>
        <w:spacing w:before="5"/>
        <w:rPr>
          <w:b/>
          <w:sz w:val="5"/>
        </w:rPr>
      </w:pPr>
    </w:p>
    <w:p>
      <w:pPr>
        <w:spacing w:after="0"/>
        <w:rPr>
          <w:sz w:val="5"/>
        </w:rPr>
        <w:sectPr>
          <w:pgSz w:w="11910" w:h="16840"/>
          <w:pgMar w:header="0" w:footer="1055" w:top="1580" w:bottom="1320" w:left="1460" w:right="580"/>
        </w:sectPr>
      </w:pPr>
    </w:p>
    <w:p>
      <w:pPr>
        <w:pStyle w:val="BodyText"/>
        <w:spacing w:before="12"/>
        <w:rPr>
          <w:b/>
          <w:sz w:val="27"/>
        </w:rPr>
      </w:pPr>
    </w:p>
    <w:p>
      <w:pPr>
        <w:pStyle w:val="ListParagraph"/>
        <w:numPr>
          <w:ilvl w:val="2"/>
          <w:numId w:val="2"/>
        </w:numPr>
        <w:tabs>
          <w:tab w:pos="940" w:val="left" w:leader="none"/>
        </w:tabs>
        <w:spacing w:line="240" w:lineRule="auto" w:before="0" w:after="0"/>
        <w:ind w:left="940" w:right="0" w:hanging="699"/>
        <w:jc w:val="left"/>
        <w:rPr>
          <w:sz w:val="28"/>
        </w:rPr>
      </w:pPr>
      <w:r>
        <w:rPr>
          <w:sz w:val="28"/>
        </w:rPr>
        <w:t>张贴</w:t>
      </w:r>
    </w:p>
    <w:p>
      <w:pPr>
        <w:tabs>
          <w:tab w:pos="901" w:val="left" w:leader="none"/>
        </w:tabs>
        <w:spacing w:before="48"/>
        <w:ind w:left="241" w:right="0" w:firstLine="0"/>
        <w:jc w:val="left"/>
        <w:rPr>
          <w:b/>
          <w:sz w:val="24"/>
        </w:rPr>
      </w:pPr>
      <w:r>
        <w:rPr/>
        <w:br w:type="column"/>
      </w:r>
      <w:r>
        <w:rPr>
          <w:b/>
          <w:sz w:val="24"/>
        </w:rPr>
        <w:t>图</w:t>
      </w:r>
      <w:r>
        <w:rPr>
          <w:b/>
          <w:spacing w:val="-62"/>
          <w:sz w:val="24"/>
        </w:rPr>
        <w:t> </w:t>
      </w:r>
      <w:r>
        <w:rPr>
          <w:rFonts w:ascii="Times New Roman" w:eastAsia="Times New Roman"/>
          <w:b/>
          <w:sz w:val="24"/>
        </w:rPr>
        <w:t>3</w:t>
        <w:tab/>
      </w:r>
      <w:r>
        <w:rPr>
          <w:b/>
          <w:sz w:val="24"/>
        </w:rPr>
        <w:t>报纸公示截图（</w:t>
      </w:r>
      <w:r>
        <w:rPr>
          <w:rFonts w:ascii="Times New Roman" w:eastAsia="Times New Roman"/>
          <w:b/>
          <w:sz w:val="24"/>
        </w:rPr>
        <w:t>2</w:t>
      </w:r>
      <w:r>
        <w:rPr>
          <w:b/>
          <w:sz w:val="24"/>
        </w:rPr>
        <w:t>）</w:t>
      </w:r>
    </w:p>
    <w:p>
      <w:pPr>
        <w:spacing w:after="0"/>
        <w:jc w:val="left"/>
        <w:rPr>
          <w:sz w:val="24"/>
        </w:rPr>
        <w:sectPr>
          <w:type w:val="continuous"/>
          <w:pgSz w:w="11910" w:h="16840"/>
          <w:pgMar w:top="1580" w:bottom="280" w:left="1460" w:right="580"/>
          <w:cols w:num="2" w:equalWidth="0">
            <w:col w:w="1542" w:space="1359"/>
            <w:col w:w="6969"/>
          </w:cols>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2" cstate="print"/>
                    <a:stretch>
                      <a:fillRect/>
                    </a:stretch>
                  </pic:blipFill>
                  <pic:spPr>
                    <a:xfrm>
                      <a:off x="0" y="0"/>
                      <a:ext cx="5349240" cy="7132320"/>
                    </a:xfrm>
                    <a:prstGeom prst="rect">
                      <a:avLst/>
                    </a:prstGeom>
                  </pic:spPr>
                </pic:pic>
              </a:graphicData>
            </a:graphic>
          </wp:inline>
        </w:drawing>
      </w:r>
      <w:r>
        <w:rPr>
          <w:sz w:val="20"/>
        </w:rPr>
      </w:r>
    </w:p>
    <w:p>
      <w:pPr>
        <w:pStyle w:val="BodyText"/>
        <w:spacing w:before="1"/>
        <w:rPr>
          <w:b/>
          <w:sz w:val="9"/>
        </w:rPr>
      </w:pPr>
    </w:p>
    <w:p>
      <w:pPr>
        <w:tabs>
          <w:tab w:pos="599" w:val="left" w:leader="none"/>
        </w:tabs>
        <w:spacing w:before="76"/>
        <w:ind w:left="0" w:right="397" w:firstLine="0"/>
        <w:jc w:val="center"/>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1</w:t>
      </w:r>
      <w:r>
        <w:rPr>
          <w:b/>
          <w:sz w:val="24"/>
        </w:rPr>
        <w:t>）</w:t>
      </w:r>
    </w:p>
    <w:p>
      <w:pPr>
        <w:spacing w:after="0"/>
        <w:jc w:val="center"/>
        <w:rPr>
          <w:sz w:val="24"/>
        </w:rPr>
        <w:sectPr>
          <w:footerReference w:type="default" r:id="rId21"/>
          <w:pgSz w:w="11910" w:h="16840"/>
          <w:pgMar w:footer="1135" w:header="0" w:top="1580" w:bottom="1320" w:left="1460" w:right="580"/>
          <w:pgNumType w:start="1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3" cstate="print"/>
                    <a:stretch>
                      <a:fillRect/>
                    </a:stretch>
                  </pic:blipFill>
                  <pic:spPr>
                    <a:xfrm>
                      <a:off x="0" y="0"/>
                      <a:ext cx="5349240" cy="7132320"/>
                    </a:xfrm>
                    <a:prstGeom prst="rect">
                      <a:avLst/>
                    </a:prstGeom>
                  </pic:spPr>
                </pic:pic>
              </a:graphicData>
            </a:graphic>
          </wp:inline>
        </w:drawing>
      </w:r>
      <w:r>
        <w:rPr>
          <w:sz w:val="20"/>
        </w:rPr>
      </w:r>
    </w:p>
    <w:p>
      <w:pPr>
        <w:pStyle w:val="BodyText"/>
        <w:spacing w:before="3"/>
        <w:rPr>
          <w:b/>
          <w:sz w:val="6"/>
        </w:rPr>
      </w:pPr>
    </w:p>
    <w:p>
      <w:pPr>
        <w:tabs>
          <w:tab w:pos="3687" w:val="left" w:leader="none"/>
        </w:tabs>
        <w:spacing w:before="77"/>
        <w:ind w:left="3088" w:right="0" w:firstLine="0"/>
        <w:jc w:val="left"/>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2</w:t>
      </w:r>
      <w:r>
        <w:rPr>
          <w:b/>
          <w:sz w:val="24"/>
        </w:rPr>
        <w:t>）</w:t>
      </w:r>
    </w:p>
    <w:p>
      <w:pPr>
        <w:spacing w:after="0"/>
        <w:jc w:val="left"/>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24" cstate="print"/>
                    <a:stretch>
                      <a:fillRect/>
                    </a:stretch>
                  </pic:blipFill>
                  <pic:spPr>
                    <a:xfrm>
                      <a:off x="0" y="0"/>
                      <a:ext cx="5349240" cy="7132320"/>
                    </a:xfrm>
                    <a:prstGeom prst="rect">
                      <a:avLst/>
                    </a:prstGeom>
                  </pic:spPr>
                </pic:pic>
              </a:graphicData>
            </a:graphic>
          </wp:inline>
        </w:drawing>
      </w:r>
      <w:r>
        <w:rPr>
          <w:sz w:val="20"/>
        </w:rPr>
      </w:r>
    </w:p>
    <w:p>
      <w:pPr>
        <w:pStyle w:val="BodyText"/>
        <w:spacing w:before="1"/>
        <w:rPr>
          <w:b/>
          <w:sz w:val="9"/>
        </w:rPr>
      </w:pPr>
    </w:p>
    <w:p>
      <w:pPr>
        <w:tabs>
          <w:tab w:pos="599" w:val="left" w:leader="none"/>
        </w:tabs>
        <w:spacing w:before="76"/>
        <w:ind w:left="0" w:right="397" w:firstLine="0"/>
        <w:jc w:val="center"/>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3</w:t>
      </w:r>
      <w:r>
        <w:rPr>
          <w:b/>
          <w:sz w:val="24"/>
        </w:rPr>
        <w:t>）</w:t>
      </w:r>
    </w:p>
    <w:p>
      <w:pPr>
        <w:spacing w:after="0"/>
        <w:jc w:val="center"/>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5" cstate="print"/>
                    <a:stretch>
                      <a:fillRect/>
                    </a:stretch>
                  </pic:blipFill>
                  <pic:spPr>
                    <a:xfrm>
                      <a:off x="0" y="0"/>
                      <a:ext cx="5349240" cy="7132320"/>
                    </a:xfrm>
                    <a:prstGeom prst="rect">
                      <a:avLst/>
                    </a:prstGeom>
                  </pic:spPr>
                </pic:pic>
              </a:graphicData>
            </a:graphic>
          </wp:inline>
        </w:drawing>
      </w:r>
      <w:r>
        <w:rPr>
          <w:sz w:val="20"/>
        </w:rPr>
      </w:r>
    </w:p>
    <w:p>
      <w:pPr>
        <w:pStyle w:val="BodyText"/>
        <w:spacing w:before="11"/>
        <w:rPr>
          <w:b/>
          <w:sz w:val="6"/>
        </w:rPr>
      </w:pPr>
    </w:p>
    <w:p>
      <w:pPr>
        <w:tabs>
          <w:tab w:pos="599" w:val="left" w:leader="none"/>
        </w:tabs>
        <w:spacing w:before="74"/>
        <w:ind w:left="0" w:right="440" w:firstLine="0"/>
        <w:jc w:val="center"/>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4</w:t>
      </w:r>
      <w:r>
        <w:rPr>
          <w:b/>
          <w:sz w:val="24"/>
        </w:rPr>
        <w:t>）</w:t>
      </w:r>
    </w:p>
    <w:p>
      <w:pPr>
        <w:spacing w:after="0"/>
        <w:jc w:val="center"/>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6" cstate="print"/>
                    <a:stretch>
                      <a:fillRect/>
                    </a:stretch>
                  </pic:blipFill>
                  <pic:spPr>
                    <a:xfrm>
                      <a:off x="0" y="0"/>
                      <a:ext cx="5349240" cy="7132320"/>
                    </a:xfrm>
                    <a:prstGeom prst="rect">
                      <a:avLst/>
                    </a:prstGeom>
                  </pic:spPr>
                </pic:pic>
              </a:graphicData>
            </a:graphic>
          </wp:inline>
        </w:drawing>
      </w:r>
      <w:r>
        <w:rPr>
          <w:sz w:val="20"/>
        </w:rPr>
      </w:r>
    </w:p>
    <w:p>
      <w:pPr>
        <w:pStyle w:val="BodyText"/>
        <w:spacing w:before="1"/>
        <w:rPr>
          <w:b/>
          <w:sz w:val="9"/>
        </w:rPr>
      </w:pPr>
    </w:p>
    <w:p>
      <w:pPr>
        <w:tabs>
          <w:tab w:pos="599" w:val="left" w:leader="none"/>
        </w:tabs>
        <w:spacing w:before="76"/>
        <w:ind w:left="0" w:right="397" w:firstLine="0"/>
        <w:jc w:val="center"/>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5</w:t>
      </w:r>
      <w:r>
        <w:rPr>
          <w:b/>
          <w:sz w:val="24"/>
        </w:rPr>
        <w:t>）</w:t>
      </w:r>
    </w:p>
    <w:p>
      <w:pPr>
        <w:spacing w:after="0"/>
        <w:jc w:val="center"/>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7" cstate="print"/>
                    <a:stretch>
                      <a:fillRect/>
                    </a:stretch>
                  </pic:blipFill>
                  <pic:spPr>
                    <a:xfrm>
                      <a:off x="0" y="0"/>
                      <a:ext cx="5349240" cy="7132320"/>
                    </a:xfrm>
                    <a:prstGeom prst="rect">
                      <a:avLst/>
                    </a:prstGeom>
                  </pic:spPr>
                </pic:pic>
              </a:graphicData>
            </a:graphic>
          </wp:inline>
        </w:drawing>
      </w:r>
      <w:r>
        <w:rPr>
          <w:sz w:val="20"/>
        </w:rPr>
      </w:r>
    </w:p>
    <w:p>
      <w:pPr>
        <w:pStyle w:val="BodyText"/>
        <w:spacing w:before="11"/>
        <w:rPr>
          <w:b/>
          <w:sz w:val="6"/>
        </w:rPr>
      </w:pPr>
    </w:p>
    <w:p>
      <w:pPr>
        <w:tabs>
          <w:tab w:pos="3584" w:val="left" w:leader="none"/>
        </w:tabs>
        <w:spacing w:before="74"/>
        <w:ind w:left="2984" w:right="0" w:firstLine="0"/>
        <w:jc w:val="left"/>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6</w:t>
      </w:r>
      <w:r>
        <w:rPr>
          <w:b/>
          <w:sz w:val="24"/>
        </w:rPr>
        <w:t>）</w:t>
      </w:r>
    </w:p>
    <w:p>
      <w:pPr>
        <w:spacing w:after="0"/>
        <w:jc w:val="left"/>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8" cstate="print"/>
                    <a:stretch>
                      <a:fillRect/>
                    </a:stretch>
                  </pic:blipFill>
                  <pic:spPr>
                    <a:xfrm>
                      <a:off x="0" y="0"/>
                      <a:ext cx="5349240" cy="7132320"/>
                    </a:xfrm>
                    <a:prstGeom prst="rect">
                      <a:avLst/>
                    </a:prstGeom>
                  </pic:spPr>
                </pic:pic>
              </a:graphicData>
            </a:graphic>
          </wp:inline>
        </w:drawing>
      </w:r>
      <w:r>
        <w:rPr>
          <w:sz w:val="20"/>
        </w:rPr>
      </w:r>
    </w:p>
    <w:p>
      <w:pPr>
        <w:pStyle w:val="BodyText"/>
        <w:spacing w:before="1"/>
        <w:rPr>
          <w:b/>
          <w:sz w:val="9"/>
        </w:rPr>
      </w:pPr>
    </w:p>
    <w:p>
      <w:pPr>
        <w:tabs>
          <w:tab w:pos="599" w:val="left" w:leader="none"/>
        </w:tabs>
        <w:spacing w:before="76"/>
        <w:ind w:left="0" w:right="397" w:firstLine="0"/>
        <w:jc w:val="center"/>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7</w:t>
      </w:r>
      <w:r>
        <w:rPr>
          <w:b/>
          <w:sz w:val="24"/>
        </w:rPr>
        <w:t>）</w:t>
      </w:r>
    </w:p>
    <w:p>
      <w:pPr>
        <w:spacing w:after="0"/>
        <w:jc w:val="center"/>
        <w:rPr>
          <w:sz w:val="24"/>
        </w:rPr>
        <w:sectPr>
          <w:pgSz w:w="11910" w:h="16840"/>
          <w:pgMar w:header="0" w:footer="1135" w:top="1580" w:bottom="1320" w:left="1460" w:right="580"/>
        </w:sectPr>
      </w:pPr>
    </w:p>
    <w:p>
      <w:pPr>
        <w:pStyle w:val="BodyText"/>
        <w:spacing w:before="1"/>
        <w:rPr>
          <w:b/>
          <w:sz w:val="8"/>
        </w:rPr>
      </w:pPr>
    </w:p>
    <w:p>
      <w:pPr>
        <w:pStyle w:val="BodyText"/>
        <w:ind w:left="241"/>
        <w:rPr>
          <w:sz w:val="20"/>
        </w:rPr>
      </w:pPr>
      <w:r>
        <w:rPr>
          <w:sz w:val="20"/>
        </w:rPr>
        <w:drawing>
          <wp:inline distT="0" distB="0" distL="0" distR="0">
            <wp:extent cx="5349240" cy="713232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9" cstate="print"/>
                    <a:stretch>
                      <a:fillRect/>
                    </a:stretch>
                  </pic:blipFill>
                  <pic:spPr>
                    <a:xfrm>
                      <a:off x="0" y="0"/>
                      <a:ext cx="5349240" cy="7132320"/>
                    </a:xfrm>
                    <a:prstGeom prst="rect">
                      <a:avLst/>
                    </a:prstGeom>
                  </pic:spPr>
                </pic:pic>
              </a:graphicData>
            </a:graphic>
          </wp:inline>
        </w:drawing>
      </w:r>
      <w:r>
        <w:rPr>
          <w:sz w:val="20"/>
        </w:rPr>
      </w:r>
    </w:p>
    <w:p>
      <w:pPr>
        <w:pStyle w:val="BodyText"/>
        <w:spacing w:before="9"/>
        <w:rPr>
          <w:b/>
          <w:sz w:val="11"/>
        </w:rPr>
      </w:pPr>
    </w:p>
    <w:p>
      <w:pPr>
        <w:tabs>
          <w:tab w:pos="3721" w:val="left" w:leader="none"/>
        </w:tabs>
        <w:spacing w:before="74"/>
        <w:ind w:left="3121" w:right="0" w:firstLine="0"/>
        <w:jc w:val="left"/>
        <w:rPr>
          <w:b/>
          <w:sz w:val="24"/>
        </w:rPr>
      </w:pPr>
      <w:r>
        <w:rPr>
          <w:b/>
          <w:sz w:val="24"/>
        </w:rPr>
        <w:t>图</w:t>
      </w:r>
      <w:r>
        <w:rPr>
          <w:rFonts w:ascii="Times New Roman" w:eastAsia="Times New Roman"/>
          <w:b/>
          <w:sz w:val="24"/>
        </w:rPr>
        <w:t>4</w:t>
        <w:tab/>
      </w:r>
      <w:r>
        <w:rPr>
          <w:b/>
          <w:sz w:val="24"/>
        </w:rPr>
        <w:t>张贴公示照片（</w:t>
      </w:r>
      <w:r>
        <w:rPr>
          <w:rFonts w:ascii="Times New Roman" w:eastAsia="Times New Roman"/>
          <w:b/>
          <w:sz w:val="24"/>
        </w:rPr>
        <w:t>8</w:t>
      </w:r>
      <w:r>
        <w:rPr>
          <w:b/>
          <w:sz w:val="24"/>
        </w:rPr>
        <w:t>）</w:t>
      </w:r>
    </w:p>
    <w:p>
      <w:pPr>
        <w:pStyle w:val="ListParagraph"/>
        <w:numPr>
          <w:ilvl w:val="2"/>
          <w:numId w:val="2"/>
        </w:numPr>
        <w:tabs>
          <w:tab w:pos="940" w:val="left" w:leader="none"/>
        </w:tabs>
        <w:spacing w:line="451" w:lineRule="auto" w:before="161" w:after="0"/>
        <w:ind w:left="520" w:right="8362" w:hanging="279"/>
        <w:jc w:val="left"/>
        <w:rPr>
          <w:sz w:val="28"/>
        </w:rPr>
      </w:pPr>
      <w:r>
        <w:rPr>
          <w:spacing w:val="-7"/>
          <w:sz w:val="28"/>
        </w:rPr>
        <w:t>其他</w:t>
      </w:r>
      <w:r>
        <w:rPr>
          <w:sz w:val="28"/>
        </w:rPr>
        <w:t>无</w:t>
      </w:r>
    </w:p>
    <w:p>
      <w:pPr>
        <w:spacing w:after="0" w:line="451" w:lineRule="auto"/>
        <w:jc w:val="left"/>
        <w:rPr>
          <w:sz w:val="28"/>
        </w:rPr>
        <w:sectPr>
          <w:pgSz w:w="11910" w:h="16840"/>
          <w:pgMar w:header="0" w:footer="1135" w:top="1580" w:bottom="1320" w:left="1460" w:right="580"/>
        </w:sectPr>
      </w:pPr>
    </w:p>
    <w:p>
      <w:pPr>
        <w:pStyle w:val="BodyText"/>
        <w:spacing w:before="1"/>
        <w:rPr>
          <w:sz w:val="8"/>
        </w:rPr>
      </w:pPr>
    </w:p>
    <w:p>
      <w:pPr>
        <w:pStyle w:val="ListParagraph"/>
        <w:numPr>
          <w:ilvl w:val="1"/>
          <w:numId w:val="2"/>
        </w:numPr>
        <w:tabs>
          <w:tab w:pos="765" w:val="left" w:leader="none"/>
        </w:tabs>
        <w:spacing w:line="240" w:lineRule="auto" w:before="68" w:after="0"/>
        <w:ind w:left="764" w:right="0" w:hanging="524"/>
        <w:jc w:val="left"/>
        <w:rPr>
          <w:sz w:val="30"/>
        </w:rPr>
      </w:pPr>
      <w:bookmarkStart w:name="3.3 查阅情况" w:id="25"/>
      <w:bookmarkEnd w:id="25"/>
      <w:r>
        <w:rPr/>
      </w:r>
      <w:bookmarkStart w:name="_bookmark8" w:id="26"/>
      <w:bookmarkEnd w:id="26"/>
      <w:r>
        <w:rPr/>
      </w:r>
      <w:bookmarkStart w:name="_bookmark8" w:id="27"/>
      <w:bookmarkEnd w:id="27"/>
      <w:r>
        <w:rPr>
          <w:sz w:val="30"/>
        </w:rPr>
        <w:t>查阅情况</w:t>
      </w:r>
    </w:p>
    <w:p>
      <w:pPr>
        <w:spacing w:before="226"/>
        <w:ind w:left="800" w:right="0" w:firstLine="0"/>
        <w:jc w:val="left"/>
        <w:rPr>
          <w:rFonts w:ascii="仿宋" w:eastAsia="仿宋" w:hint="eastAsia"/>
          <w:sz w:val="28"/>
        </w:rPr>
      </w:pPr>
      <w:r>
        <w:rPr>
          <w:spacing w:val="-3"/>
          <w:sz w:val="28"/>
        </w:rPr>
        <w:t>查阅场所设置情况：</w:t>
      </w:r>
      <w:r>
        <w:rPr>
          <w:rFonts w:ascii="仿宋" w:eastAsia="仿宋" w:hint="eastAsia"/>
          <w:spacing w:val="-10"/>
          <w:sz w:val="28"/>
        </w:rPr>
        <w:t>双鸭山市尖山区二马路 </w:t>
      </w:r>
      <w:r>
        <w:rPr>
          <w:sz w:val="28"/>
        </w:rPr>
        <w:t>378</w:t>
      </w:r>
      <w:r>
        <w:rPr>
          <w:spacing w:val="-72"/>
          <w:sz w:val="28"/>
        </w:rPr>
        <w:t> </w:t>
      </w:r>
      <w:r>
        <w:rPr>
          <w:rFonts w:ascii="仿宋" w:eastAsia="仿宋" w:hint="eastAsia"/>
          <w:sz w:val="28"/>
        </w:rPr>
        <w:t>号</w:t>
      </w:r>
    </w:p>
    <w:p>
      <w:pPr>
        <w:spacing w:before="186"/>
        <w:ind w:left="800" w:right="0" w:firstLine="0"/>
        <w:jc w:val="left"/>
        <w:rPr>
          <w:sz w:val="28"/>
        </w:rPr>
      </w:pPr>
      <w:r>
        <w:rPr>
          <w:sz w:val="28"/>
        </w:rPr>
        <w:t>查阅情况：无公众前来查阅</w:t>
      </w:r>
    </w:p>
    <w:p>
      <w:pPr>
        <w:pStyle w:val="BodyText"/>
        <w:spacing w:before="9"/>
        <w:rPr>
          <w:sz w:val="31"/>
        </w:rPr>
      </w:pPr>
    </w:p>
    <w:p>
      <w:pPr>
        <w:pStyle w:val="ListParagraph"/>
        <w:numPr>
          <w:ilvl w:val="1"/>
          <w:numId w:val="2"/>
        </w:numPr>
        <w:tabs>
          <w:tab w:pos="765" w:val="left" w:leader="none"/>
        </w:tabs>
        <w:spacing w:line="240" w:lineRule="auto" w:before="0" w:after="0"/>
        <w:ind w:left="764" w:right="0" w:hanging="524"/>
        <w:jc w:val="left"/>
        <w:rPr>
          <w:sz w:val="30"/>
        </w:rPr>
      </w:pPr>
      <w:bookmarkStart w:name="3.4 公众提出意见情况" w:id="28"/>
      <w:bookmarkEnd w:id="28"/>
      <w:r>
        <w:rPr/>
      </w:r>
      <w:bookmarkStart w:name="_bookmark9" w:id="29"/>
      <w:bookmarkEnd w:id="29"/>
      <w:r>
        <w:rPr/>
      </w:r>
      <w:bookmarkStart w:name="_bookmark9" w:id="30"/>
      <w:bookmarkEnd w:id="30"/>
      <w:r>
        <w:rPr>
          <w:sz w:val="30"/>
        </w:rPr>
        <w:t>公众提出意见情况</w:t>
      </w:r>
    </w:p>
    <w:p>
      <w:pPr>
        <w:spacing w:before="226"/>
        <w:ind w:left="800" w:right="0" w:firstLine="0"/>
        <w:jc w:val="left"/>
        <w:rPr>
          <w:sz w:val="28"/>
        </w:rPr>
      </w:pPr>
      <w:r>
        <w:rPr>
          <w:w w:val="100"/>
          <w:sz w:val="28"/>
        </w:rPr>
        <w:t>无</w:t>
      </w:r>
    </w:p>
    <w:p>
      <w:pPr>
        <w:pStyle w:val="BodyText"/>
        <w:spacing w:before="11"/>
        <w:rPr>
          <w:sz w:val="30"/>
        </w:rPr>
      </w:pPr>
    </w:p>
    <w:p>
      <w:pPr>
        <w:pStyle w:val="ListParagraph"/>
        <w:numPr>
          <w:ilvl w:val="0"/>
          <w:numId w:val="2"/>
        </w:numPr>
        <w:tabs>
          <w:tab w:pos="561" w:val="left" w:leader="none"/>
        </w:tabs>
        <w:spacing w:line="240" w:lineRule="auto" w:before="0" w:after="0"/>
        <w:ind w:left="560" w:right="0" w:hanging="320"/>
        <w:jc w:val="left"/>
        <w:rPr>
          <w:sz w:val="32"/>
        </w:rPr>
      </w:pPr>
      <w:bookmarkStart w:name="4 其他公众参与情况" w:id="31"/>
      <w:bookmarkEnd w:id="31"/>
      <w:r>
        <w:rPr/>
      </w:r>
      <w:bookmarkStart w:name="_bookmark10" w:id="32"/>
      <w:bookmarkEnd w:id="32"/>
      <w:r>
        <w:rPr/>
      </w:r>
      <w:bookmarkStart w:name="_bookmark10" w:id="33"/>
      <w:bookmarkEnd w:id="33"/>
      <w:r>
        <w:rPr>
          <w:sz w:val="32"/>
        </w:rPr>
        <w:t>其他公众参与情况</w:t>
      </w:r>
    </w:p>
    <w:p>
      <w:pPr>
        <w:spacing w:before="213"/>
        <w:ind w:left="800" w:right="0" w:firstLine="0"/>
        <w:jc w:val="left"/>
        <w:rPr>
          <w:sz w:val="28"/>
        </w:rPr>
      </w:pPr>
      <w:r>
        <w:rPr>
          <w:w w:val="100"/>
          <w:sz w:val="28"/>
        </w:rPr>
        <w:t>无</w:t>
      </w:r>
    </w:p>
    <w:p>
      <w:pPr>
        <w:pStyle w:val="BodyText"/>
        <w:spacing w:before="9"/>
        <w:rPr>
          <w:sz w:val="30"/>
        </w:rPr>
      </w:pPr>
    </w:p>
    <w:p>
      <w:pPr>
        <w:pStyle w:val="ListParagraph"/>
        <w:numPr>
          <w:ilvl w:val="0"/>
          <w:numId w:val="2"/>
        </w:numPr>
        <w:tabs>
          <w:tab w:pos="482" w:val="left" w:leader="none"/>
        </w:tabs>
        <w:spacing w:line="240" w:lineRule="auto" w:before="0" w:after="0"/>
        <w:ind w:left="481" w:right="0" w:hanging="241"/>
        <w:jc w:val="left"/>
        <w:rPr>
          <w:sz w:val="32"/>
        </w:rPr>
      </w:pPr>
      <w:bookmarkStart w:name="5公众意见处理情况" w:id="34"/>
      <w:bookmarkEnd w:id="34"/>
      <w:r>
        <w:rPr/>
      </w:r>
      <w:bookmarkStart w:name="_bookmark11" w:id="35"/>
      <w:bookmarkEnd w:id="35"/>
      <w:r>
        <w:rPr/>
      </w:r>
      <w:bookmarkStart w:name="_bookmark11" w:id="36"/>
      <w:bookmarkEnd w:id="36"/>
      <w:r>
        <w:rPr>
          <w:sz w:val="32"/>
        </w:rPr>
        <w:t>公众意见处理情况</w:t>
      </w:r>
    </w:p>
    <w:p>
      <w:pPr>
        <w:spacing w:line="364" w:lineRule="auto" w:before="214"/>
        <w:ind w:left="241" w:right="1119" w:firstLine="559"/>
        <w:jc w:val="left"/>
        <w:rPr>
          <w:sz w:val="28"/>
        </w:rPr>
      </w:pPr>
      <w:r>
        <w:rPr>
          <w:sz w:val="28"/>
        </w:rPr>
        <w:t>公众参与期间，建设单位未收到公众对本项目提出的环境影响相关意见。</w:t>
      </w:r>
    </w:p>
    <w:p>
      <w:pPr>
        <w:spacing w:after="0" w:line="364" w:lineRule="auto"/>
        <w:jc w:val="left"/>
        <w:rPr>
          <w:sz w:val="28"/>
        </w:rPr>
        <w:sectPr>
          <w:pgSz w:w="11910" w:h="16840"/>
          <w:pgMar w:header="0" w:footer="1135" w:top="1580" w:bottom="1320" w:left="1460" w:right="580"/>
        </w:sectPr>
      </w:pPr>
    </w:p>
    <w:p>
      <w:pPr>
        <w:pStyle w:val="ListParagraph"/>
        <w:numPr>
          <w:ilvl w:val="0"/>
          <w:numId w:val="2"/>
        </w:numPr>
        <w:tabs>
          <w:tab w:pos="561" w:val="left" w:leader="none"/>
        </w:tabs>
        <w:spacing w:line="240" w:lineRule="auto" w:before="159" w:after="0"/>
        <w:ind w:left="560" w:right="0" w:hanging="320"/>
        <w:jc w:val="left"/>
        <w:rPr>
          <w:sz w:val="32"/>
        </w:rPr>
      </w:pPr>
      <w:bookmarkStart w:name="6 其他" w:id="37"/>
      <w:bookmarkEnd w:id="37"/>
      <w:r>
        <w:rPr/>
      </w:r>
      <w:bookmarkStart w:name="_bookmark12" w:id="38"/>
      <w:bookmarkEnd w:id="38"/>
      <w:r>
        <w:rPr/>
      </w:r>
      <w:bookmarkStart w:name="_bookmark12" w:id="39"/>
      <w:bookmarkEnd w:id="39"/>
      <w:r>
        <w:rPr>
          <w:sz w:val="32"/>
        </w:rPr>
        <w:t>其他</w:t>
      </w:r>
    </w:p>
    <w:p>
      <w:pPr>
        <w:spacing w:before="213"/>
        <w:ind w:left="800" w:right="0" w:firstLine="0"/>
        <w:jc w:val="left"/>
        <w:rPr>
          <w:sz w:val="28"/>
        </w:rPr>
      </w:pPr>
      <w:r>
        <w:rPr>
          <w:w w:val="100"/>
          <w:sz w:val="28"/>
        </w:rPr>
        <w:t>无</w:t>
      </w:r>
    </w:p>
    <w:p>
      <w:pPr>
        <w:pStyle w:val="BodyText"/>
        <w:spacing w:before="9"/>
        <w:rPr>
          <w:sz w:val="30"/>
        </w:rPr>
      </w:pPr>
    </w:p>
    <w:p>
      <w:pPr>
        <w:pStyle w:val="ListParagraph"/>
        <w:numPr>
          <w:ilvl w:val="0"/>
          <w:numId w:val="2"/>
        </w:numPr>
        <w:tabs>
          <w:tab w:pos="561" w:val="left" w:leader="none"/>
        </w:tabs>
        <w:spacing w:line="240" w:lineRule="auto" w:before="0" w:after="0"/>
        <w:ind w:left="560" w:right="0" w:hanging="320"/>
        <w:jc w:val="left"/>
        <w:rPr>
          <w:sz w:val="32"/>
        </w:rPr>
      </w:pPr>
      <w:bookmarkStart w:name="7 诚信承诺" w:id="40"/>
      <w:bookmarkEnd w:id="40"/>
      <w:r>
        <w:rPr/>
      </w:r>
      <w:bookmarkStart w:name="_bookmark13" w:id="41"/>
      <w:bookmarkEnd w:id="41"/>
      <w:r>
        <w:rPr/>
      </w:r>
      <w:bookmarkStart w:name="_bookmark13" w:id="42"/>
      <w:bookmarkEnd w:id="42"/>
      <w:r>
        <w:rPr>
          <w:sz w:val="32"/>
        </w:rPr>
        <w:t>诚信承诺</w:t>
      </w:r>
    </w:p>
    <w:p>
      <w:pPr>
        <w:pStyle w:val="BodyText"/>
        <w:rPr>
          <w:sz w:val="34"/>
        </w:rPr>
      </w:pPr>
    </w:p>
    <w:p>
      <w:pPr>
        <w:spacing w:before="260"/>
        <w:ind w:left="800" w:right="0" w:firstLine="0"/>
        <w:jc w:val="left"/>
        <w:rPr>
          <w:sz w:val="28"/>
        </w:rPr>
      </w:pPr>
      <w:r>
        <w:rPr>
          <w:sz w:val="28"/>
        </w:rPr>
        <w:t>我单位已按照《办法》要求，在《双鸭山新自矿业有限责任公司</w:t>
      </w:r>
    </w:p>
    <w:p>
      <w:pPr>
        <w:spacing w:line="364" w:lineRule="auto" w:before="188"/>
        <w:ind w:left="241" w:right="1116" w:firstLine="0"/>
        <w:jc w:val="both"/>
        <w:rPr>
          <w:sz w:val="28"/>
        </w:rPr>
      </w:pPr>
      <w:r>
        <w:rPr>
          <w:sz w:val="28"/>
        </w:rPr>
        <w:t>（原双鸭山双兴时代矿业有限责任公司一井）改扩建项目环境影响报告书》编制阶段开展了公众参与工作，在环境影响报告书中充分采纳了公众提出的与环境影响相关的合理意见，对未采纳的意见按要求进行了说明，并按照要求编制了公众参与说明。</w:t>
      </w:r>
    </w:p>
    <w:p>
      <w:pPr>
        <w:spacing w:line="364" w:lineRule="auto" w:before="0"/>
        <w:ind w:left="241" w:right="1116" w:firstLine="559"/>
        <w:jc w:val="both"/>
        <w:rPr>
          <w:sz w:val="28"/>
        </w:rPr>
      </w:pPr>
      <w:r>
        <w:rPr>
          <w:sz w:val="28"/>
        </w:rPr>
        <w:t>我单位承诺，本次提交的《双鸭山新自矿业有限责任公司（原双鸭山双兴时代矿业有限责任公司一井）改扩建项目环境影响评价公众参与说明》内容客观、真实，未包含依法不得公开的国家秘密、商业秘密、个人隐私。如存在弄虚作假、隐瞒欺骗等情况及由此导致的一切后果由双鸭山新自矿业有限责任公司承担全部责任。</w:t>
      </w:r>
    </w:p>
    <w:p>
      <w:pPr>
        <w:pStyle w:val="BodyText"/>
        <w:rPr>
          <w:sz w:val="28"/>
        </w:rPr>
      </w:pPr>
    </w:p>
    <w:p>
      <w:pPr>
        <w:pStyle w:val="BodyText"/>
        <w:spacing w:before="7"/>
        <w:rPr>
          <w:sz w:val="29"/>
        </w:rPr>
      </w:pPr>
    </w:p>
    <w:p>
      <w:pPr>
        <w:spacing w:line="364" w:lineRule="auto" w:before="0"/>
        <w:ind w:left="5034" w:right="1120" w:hanging="1330"/>
        <w:jc w:val="left"/>
        <w:rPr>
          <w:sz w:val="28"/>
        </w:rPr>
      </w:pPr>
      <w:r>
        <w:rPr>
          <w:spacing w:val="-3"/>
          <w:sz w:val="28"/>
        </w:rPr>
        <w:t>承诺单位：双鸭山新自矿业有限责任公司</w:t>
      </w:r>
      <w:r>
        <w:rPr>
          <w:spacing w:val="-2"/>
          <w:sz w:val="28"/>
        </w:rPr>
        <w:t>承诺时间：</w:t>
      </w:r>
      <w:r>
        <w:rPr>
          <w:rFonts w:ascii="Times New Roman" w:eastAsia="Times New Roman"/>
          <w:sz w:val="28"/>
        </w:rPr>
        <w:t>2020 </w:t>
      </w:r>
      <w:r>
        <w:rPr>
          <w:spacing w:val="-35"/>
          <w:sz w:val="28"/>
        </w:rPr>
        <w:t>年 </w:t>
      </w:r>
      <w:r>
        <w:rPr>
          <w:rFonts w:ascii="Times New Roman" w:eastAsia="Times New Roman"/>
          <w:sz w:val="28"/>
        </w:rPr>
        <w:t>10 </w:t>
      </w:r>
      <w:r>
        <w:rPr>
          <w:spacing w:val="-35"/>
          <w:sz w:val="28"/>
        </w:rPr>
        <w:t>月 </w:t>
      </w:r>
      <w:r>
        <w:rPr>
          <w:rFonts w:ascii="Times New Roman" w:eastAsia="Times New Roman"/>
          <w:sz w:val="28"/>
        </w:rPr>
        <w:t>30 </w:t>
      </w:r>
      <w:r>
        <w:rPr>
          <w:spacing w:val="-11"/>
          <w:sz w:val="28"/>
        </w:rPr>
        <w:t>日</w:t>
      </w:r>
    </w:p>
    <w:sectPr>
      <w:pgSz w:w="11910" w:h="16840"/>
      <w:pgMar w:header="0" w:footer="1135" w:top="1580" w:bottom="1320" w:left="146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微软雅黑">
    <w:altName w:val="微软雅黑"/>
    <w:charset w:val="86"/>
    <w:family w:val="swiss"/>
    <w:pitch w:val="variable"/>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93.440002pt;margin-top:774.148987pt;width:8.5pt;height:12pt;mso-position-horizontal-relative:page;mso-position-vertical-relative:page;z-index:-25229004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74.148987pt;width:13.1pt;height:12pt;mso-position-horizontal-relative:page;mso-position-vertical-relative:page;z-index:-2522890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60" w:hanging="320"/>
        <w:jc w:val="left"/>
      </w:pPr>
      <w:rPr>
        <w:rFonts w:hint="default" w:ascii="Times New Roman" w:hAnsi="Times New Roman" w:eastAsia="Times New Roman" w:cs="Times New Roman"/>
        <w:w w:val="99"/>
        <w:sz w:val="32"/>
        <w:szCs w:val="32"/>
        <w:lang w:val="zh-CN" w:eastAsia="zh-CN" w:bidi="zh-CN"/>
      </w:rPr>
    </w:lvl>
    <w:lvl w:ilvl="1">
      <w:start w:val="1"/>
      <w:numFmt w:val="decimal"/>
      <w:lvlText w:val="%1.%2"/>
      <w:lvlJc w:val="left"/>
      <w:pPr>
        <w:ind w:left="764" w:hanging="524"/>
        <w:jc w:val="left"/>
      </w:pPr>
      <w:rPr>
        <w:rFonts w:hint="default" w:ascii="Times New Roman" w:hAnsi="Times New Roman" w:eastAsia="Times New Roman" w:cs="Times New Roman"/>
        <w:spacing w:val="-3"/>
        <w:w w:val="100"/>
        <w:sz w:val="30"/>
        <w:szCs w:val="30"/>
        <w:lang w:val="zh-CN" w:eastAsia="zh-CN" w:bidi="zh-CN"/>
      </w:rPr>
    </w:lvl>
    <w:lvl w:ilvl="2">
      <w:start w:val="1"/>
      <w:numFmt w:val="decimal"/>
      <w:lvlText w:val="%1.%2.%3"/>
      <w:lvlJc w:val="left"/>
      <w:pPr>
        <w:ind w:left="940" w:hanging="699"/>
        <w:jc w:val="left"/>
      </w:pPr>
      <w:rPr>
        <w:rFonts w:hint="default" w:ascii="Times New Roman" w:hAnsi="Times New Roman" w:eastAsia="Times New Roman" w:cs="Times New Roman"/>
        <w:spacing w:val="-2"/>
        <w:w w:val="100"/>
        <w:sz w:val="28"/>
        <w:szCs w:val="28"/>
        <w:lang w:val="zh-CN" w:eastAsia="zh-CN" w:bidi="zh-CN"/>
      </w:rPr>
    </w:lvl>
    <w:lvl w:ilvl="3">
      <w:start w:val="0"/>
      <w:numFmt w:val="bullet"/>
      <w:lvlText w:val="•"/>
      <w:lvlJc w:val="left"/>
      <w:pPr>
        <w:ind w:left="940" w:hanging="699"/>
      </w:pPr>
      <w:rPr>
        <w:rFonts w:hint="default"/>
        <w:lang w:val="zh-CN" w:eastAsia="zh-CN" w:bidi="zh-CN"/>
      </w:rPr>
    </w:lvl>
    <w:lvl w:ilvl="4">
      <w:start w:val="0"/>
      <w:numFmt w:val="bullet"/>
      <w:lvlText w:val="•"/>
      <w:lvlJc w:val="left"/>
      <w:pPr>
        <w:ind w:left="2215" w:hanging="699"/>
      </w:pPr>
      <w:rPr>
        <w:rFonts w:hint="default"/>
        <w:lang w:val="zh-CN" w:eastAsia="zh-CN" w:bidi="zh-CN"/>
      </w:rPr>
    </w:lvl>
    <w:lvl w:ilvl="5">
      <w:start w:val="0"/>
      <w:numFmt w:val="bullet"/>
      <w:lvlText w:val="•"/>
      <w:lvlJc w:val="left"/>
      <w:pPr>
        <w:ind w:left="3490" w:hanging="699"/>
      </w:pPr>
      <w:rPr>
        <w:rFonts w:hint="default"/>
        <w:lang w:val="zh-CN" w:eastAsia="zh-CN" w:bidi="zh-CN"/>
      </w:rPr>
    </w:lvl>
    <w:lvl w:ilvl="6">
      <w:start w:val="0"/>
      <w:numFmt w:val="bullet"/>
      <w:lvlText w:val="•"/>
      <w:lvlJc w:val="left"/>
      <w:pPr>
        <w:ind w:left="4765" w:hanging="699"/>
      </w:pPr>
      <w:rPr>
        <w:rFonts w:hint="default"/>
        <w:lang w:val="zh-CN" w:eastAsia="zh-CN" w:bidi="zh-CN"/>
      </w:rPr>
    </w:lvl>
    <w:lvl w:ilvl="7">
      <w:start w:val="0"/>
      <w:numFmt w:val="bullet"/>
      <w:lvlText w:val="•"/>
      <w:lvlJc w:val="left"/>
      <w:pPr>
        <w:ind w:left="6040" w:hanging="699"/>
      </w:pPr>
      <w:rPr>
        <w:rFonts w:hint="default"/>
        <w:lang w:val="zh-CN" w:eastAsia="zh-CN" w:bidi="zh-CN"/>
      </w:rPr>
    </w:lvl>
    <w:lvl w:ilvl="8">
      <w:start w:val="0"/>
      <w:numFmt w:val="bullet"/>
      <w:lvlText w:val="•"/>
      <w:lvlJc w:val="left"/>
      <w:pPr>
        <w:ind w:left="7315" w:hanging="699"/>
      </w:pPr>
      <w:rPr>
        <w:rFonts w:hint="default"/>
        <w:lang w:val="zh-CN" w:eastAsia="zh-CN" w:bidi="zh-CN"/>
      </w:rPr>
    </w:lvl>
  </w:abstractNum>
  <w:abstractNum w:abstractNumId="0">
    <w:multiLevelType w:val="hybridMultilevel"/>
    <w:lvl w:ilvl="0">
      <w:start w:val="1"/>
      <w:numFmt w:val="decimal"/>
      <w:lvlText w:val="%1"/>
      <w:lvlJc w:val="left"/>
      <w:pPr>
        <w:ind w:left="901" w:hanging="240"/>
        <w:jc w:val="left"/>
      </w:pPr>
      <w:rPr>
        <w:rFonts w:hint="default" w:ascii="Times New Roman" w:hAnsi="Times New Roman" w:eastAsia="Times New Roman" w:cs="Times New Roman"/>
        <w:w w:val="100"/>
        <w:sz w:val="24"/>
        <w:szCs w:val="24"/>
        <w:lang w:val="zh-CN" w:eastAsia="zh-CN" w:bidi="zh-CN"/>
      </w:rPr>
    </w:lvl>
    <w:lvl w:ilvl="1">
      <w:start w:val="1"/>
      <w:numFmt w:val="decimal"/>
      <w:lvlText w:val="%1.%2"/>
      <w:lvlJc w:val="left"/>
      <w:pPr>
        <w:ind w:left="1448" w:hanging="368"/>
        <w:jc w:val="left"/>
      </w:pPr>
      <w:rPr>
        <w:rFonts w:hint="default" w:ascii="Times New Roman" w:hAnsi="Times New Roman" w:eastAsia="Times New Roman" w:cs="Times New Roman"/>
        <w:spacing w:val="0"/>
        <w:w w:val="99"/>
        <w:sz w:val="21"/>
        <w:szCs w:val="21"/>
        <w:lang w:val="zh-CN" w:eastAsia="zh-CN" w:bidi="zh-CN"/>
      </w:rPr>
    </w:lvl>
    <w:lvl w:ilvl="2">
      <w:start w:val="0"/>
      <w:numFmt w:val="bullet"/>
      <w:lvlText w:val="•"/>
      <w:lvlJc w:val="left"/>
      <w:pPr>
        <w:ind w:left="1440" w:hanging="368"/>
      </w:pPr>
      <w:rPr>
        <w:rFonts w:hint="default"/>
        <w:lang w:val="zh-CN" w:eastAsia="zh-CN" w:bidi="zh-CN"/>
      </w:rPr>
    </w:lvl>
    <w:lvl w:ilvl="3">
      <w:start w:val="0"/>
      <w:numFmt w:val="bullet"/>
      <w:lvlText w:val="•"/>
      <w:lvlJc w:val="left"/>
      <w:pPr>
        <w:ind w:left="2493" w:hanging="368"/>
      </w:pPr>
      <w:rPr>
        <w:rFonts w:hint="default"/>
        <w:lang w:val="zh-CN" w:eastAsia="zh-CN" w:bidi="zh-CN"/>
      </w:rPr>
    </w:lvl>
    <w:lvl w:ilvl="4">
      <w:start w:val="0"/>
      <w:numFmt w:val="bullet"/>
      <w:lvlText w:val="•"/>
      <w:lvlJc w:val="left"/>
      <w:pPr>
        <w:ind w:left="3546" w:hanging="368"/>
      </w:pPr>
      <w:rPr>
        <w:rFonts w:hint="default"/>
        <w:lang w:val="zh-CN" w:eastAsia="zh-CN" w:bidi="zh-CN"/>
      </w:rPr>
    </w:lvl>
    <w:lvl w:ilvl="5">
      <w:start w:val="0"/>
      <w:numFmt w:val="bullet"/>
      <w:lvlText w:val="•"/>
      <w:lvlJc w:val="left"/>
      <w:pPr>
        <w:ind w:left="4599" w:hanging="368"/>
      </w:pPr>
      <w:rPr>
        <w:rFonts w:hint="default"/>
        <w:lang w:val="zh-CN" w:eastAsia="zh-CN" w:bidi="zh-CN"/>
      </w:rPr>
    </w:lvl>
    <w:lvl w:ilvl="6">
      <w:start w:val="0"/>
      <w:numFmt w:val="bullet"/>
      <w:lvlText w:val="•"/>
      <w:lvlJc w:val="left"/>
      <w:pPr>
        <w:ind w:left="5653" w:hanging="368"/>
      </w:pPr>
      <w:rPr>
        <w:rFonts w:hint="default"/>
        <w:lang w:val="zh-CN" w:eastAsia="zh-CN" w:bidi="zh-CN"/>
      </w:rPr>
    </w:lvl>
    <w:lvl w:ilvl="7">
      <w:start w:val="0"/>
      <w:numFmt w:val="bullet"/>
      <w:lvlText w:val="•"/>
      <w:lvlJc w:val="left"/>
      <w:pPr>
        <w:ind w:left="6706" w:hanging="368"/>
      </w:pPr>
      <w:rPr>
        <w:rFonts w:hint="default"/>
        <w:lang w:val="zh-CN" w:eastAsia="zh-CN" w:bidi="zh-CN"/>
      </w:rPr>
    </w:lvl>
    <w:lvl w:ilvl="8">
      <w:start w:val="0"/>
      <w:numFmt w:val="bullet"/>
      <w:lvlText w:val="•"/>
      <w:lvlJc w:val="left"/>
      <w:pPr>
        <w:ind w:left="7759" w:hanging="368"/>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93"/>
      <w:ind w:left="901" w:right="1119" w:hanging="902"/>
      <w:jc w:val="right"/>
    </w:pPr>
    <w:rPr>
      <w:rFonts w:ascii="宋体" w:hAnsi="宋体" w:eastAsia="宋体" w:cs="宋体"/>
      <w:sz w:val="24"/>
      <w:szCs w:val="24"/>
      <w:lang w:val="zh-CN" w:eastAsia="zh-CN" w:bidi="zh-CN"/>
    </w:rPr>
  </w:style>
  <w:style w:styleId="TOC2" w:type="paragraph">
    <w:name w:val="TOC 2"/>
    <w:basedOn w:val="Normal"/>
    <w:uiPriority w:val="1"/>
    <w:qFormat/>
    <w:pPr>
      <w:spacing w:before="43"/>
      <w:ind w:left="1448" w:right="1120" w:hanging="1449"/>
      <w:jc w:val="right"/>
    </w:pPr>
    <w:rPr>
      <w:rFonts w:ascii="宋体" w:hAnsi="宋体" w:eastAsia="宋体" w:cs="宋体"/>
      <w:sz w:val="21"/>
      <w:szCs w:val="21"/>
      <w:lang w:val="zh-CN" w:eastAsia="zh-CN" w:bidi="zh-CN"/>
    </w:rPr>
  </w:style>
  <w:style w:styleId="TOC3" w:type="paragraph">
    <w:name w:val="TOC 3"/>
    <w:basedOn w:val="Normal"/>
    <w:uiPriority w:val="1"/>
    <w:qFormat/>
    <w:pPr>
      <w:spacing w:before="91"/>
      <w:ind w:left="661"/>
    </w:pPr>
    <w:rPr>
      <w:rFonts w:ascii="Times New Roman" w:hAnsi="Times New Roman" w:eastAsia="Times New Roman" w:cs="Times New Roman"/>
      <w:sz w:val="24"/>
      <w:szCs w:val="24"/>
      <w:lang w:val="zh-CN" w:eastAsia="zh-CN" w:bidi="zh-CN"/>
    </w:rPr>
  </w:style>
  <w:style w:styleId="TOC4" w:type="paragraph">
    <w:name w:val="TOC 4"/>
    <w:basedOn w:val="Normal"/>
    <w:uiPriority w:val="1"/>
    <w:qFormat/>
    <w:pPr>
      <w:spacing w:before="43"/>
      <w:ind w:left="1448" w:hanging="368"/>
    </w:pPr>
    <w:rPr>
      <w:rFonts w:ascii="宋体" w:hAnsi="宋体" w:eastAsia="宋体" w:cs="宋体"/>
      <w:sz w:val="21"/>
      <w:szCs w:val="21"/>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ind w:left="560" w:hanging="320"/>
      <w:outlineLvl w:val="1"/>
    </w:pPr>
    <w:rPr>
      <w:rFonts w:ascii="宋体" w:hAnsi="宋体" w:eastAsia="宋体" w:cs="宋体"/>
      <w:sz w:val="32"/>
      <w:szCs w:val="32"/>
      <w:lang w:val="zh-CN" w:eastAsia="zh-CN" w:bidi="zh-CN"/>
    </w:rPr>
  </w:style>
  <w:style w:styleId="Heading2" w:type="paragraph">
    <w:name w:val="Heading 2"/>
    <w:basedOn w:val="Normal"/>
    <w:uiPriority w:val="1"/>
    <w:qFormat/>
    <w:pPr>
      <w:spacing w:before="279"/>
      <w:ind w:left="764" w:hanging="524"/>
      <w:outlineLvl w:val="2"/>
    </w:pPr>
    <w:rPr>
      <w:rFonts w:ascii="宋体" w:hAnsi="宋体" w:eastAsia="宋体" w:cs="宋体"/>
      <w:sz w:val="30"/>
      <w:szCs w:val="30"/>
      <w:lang w:val="zh-CN" w:eastAsia="zh-CN" w:bidi="zh-CN"/>
    </w:rPr>
  </w:style>
  <w:style w:styleId="Heading3" w:type="paragraph">
    <w:name w:val="Heading 3"/>
    <w:basedOn w:val="Normal"/>
    <w:uiPriority w:val="1"/>
    <w:qFormat/>
    <w:pPr>
      <w:ind w:left="800"/>
      <w:outlineLvl w:val="3"/>
    </w:pPr>
    <w:rPr>
      <w:rFonts w:ascii="宋体" w:hAnsi="宋体" w:eastAsia="宋体" w:cs="宋体"/>
      <w:sz w:val="28"/>
      <w:szCs w:val="28"/>
      <w:lang w:val="zh-CN" w:eastAsia="zh-CN" w:bidi="zh-CN"/>
    </w:rPr>
  </w:style>
  <w:style w:styleId="ListParagraph" w:type="paragraph">
    <w:name w:val="List Paragraph"/>
    <w:basedOn w:val="Normal"/>
    <w:uiPriority w:val="1"/>
    <w:qFormat/>
    <w:pPr>
      <w:ind w:left="560" w:hanging="32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sxsdky4285671@126.com" TargetMode="External"/><Relationship Id="rId7" Type="http://schemas.openxmlformats.org/officeDocument/2006/relationships/hyperlink" Target="http://www.mee.gov.cn/xxgk2018/xxgk/xxgk01/201" TargetMode="External"/><Relationship Id="rId8" Type="http://schemas.openxmlformats.org/officeDocument/2006/relationships/hyperlink" Target="http://www.sysld.gov.cn/" TargetMode="External"/><Relationship Id="rId9" Type="http://schemas.openxmlformats.org/officeDocument/2006/relationships/hyperlink" Target="http://www.sysld.gov.cn/newsHtmlPage/20200622/19237.html"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hyperlink" Target="http://www.sysld.gov.cn/newsHtmlPage/20201" TargetMode="External"/><Relationship Id="rId13" Type="http://schemas.openxmlformats.org/officeDocument/2006/relationships/hyperlink" Target="http://www.mee.gov.cn/xxgk2018/xxgk/xxgk01/201810/t20181024_665329.html%E3%80%82" TargetMode="External"/><Relationship Id="rId14" Type="http://schemas.openxmlformats.org/officeDocument/2006/relationships/hyperlink" Target="mailto:hkdhpzx@163.com"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footer" Target="footer2.xm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erms:created xsi:type="dcterms:W3CDTF">2020-11-01T00:08:14Z</dcterms:created>
  <dcterms:modified xsi:type="dcterms:W3CDTF">2020-11-01T00:08:14Z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WPS 文字</vt:lpwstr>
  </property>
  <property fmtid="{D5CDD505-2E9C-101B-9397-08002B2CF9AE}" pid="4" name="LastSaved">
    <vt:filetime>2020-11-01T00:00:00Z</vt:filetime>
  </property>
</Properties>
</file>