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44"/>
          <w:szCs w:val="44"/>
        </w:rPr>
      </w:pPr>
    </w:p>
    <w:p>
      <w:pPr>
        <w:spacing w:line="360" w:lineRule="auto"/>
        <w:jc w:val="center"/>
        <w:rPr>
          <w:rFonts w:ascii="黑体" w:hAnsi="黑体" w:eastAsia="黑体"/>
          <w:b/>
          <w:bCs/>
          <w:sz w:val="84"/>
          <w:szCs w:val="84"/>
        </w:rPr>
      </w:pPr>
      <w:r>
        <w:rPr>
          <w:rFonts w:hint="eastAsia" w:ascii="黑体" w:hAnsi="黑体" w:eastAsia="黑体"/>
          <w:b/>
          <w:bCs/>
          <w:sz w:val="72"/>
          <w:szCs w:val="72"/>
        </w:rPr>
        <w:t>岭东区民政局</w:t>
      </w:r>
    </w:p>
    <w:p>
      <w:pPr>
        <w:spacing w:line="360" w:lineRule="auto"/>
        <w:jc w:val="center"/>
        <w:rPr>
          <w:rFonts w:ascii="黑体" w:hAnsi="黑体" w:eastAsia="黑体"/>
          <w:b/>
          <w:bCs/>
          <w:sz w:val="84"/>
          <w:szCs w:val="84"/>
        </w:rPr>
      </w:pPr>
      <w:r>
        <w:rPr>
          <w:rFonts w:hint="eastAsia" w:ascii="黑体" w:hAnsi="黑体" w:eastAsia="黑体"/>
          <w:b/>
          <w:bCs/>
          <w:sz w:val="84"/>
          <w:szCs w:val="84"/>
        </w:rPr>
        <w:t>2019年</w:t>
      </w:r>
      <w:r>
        <w:rPr>
          <w:rFonts w:ascii="黑体" w:hAnsi="黑体" w:eastAsia="黑体"/>
          <w:b/>
          <w:bCs/>
          <w:sz w:val="84"/>
          <w:szCs w:val="84"/>
        </w:rPr>
        <w:t>部门预算</w:t>
      </w:r>
    </w:p>
    <w:p>
      <w:pPr>
        <w:widowControl/>
        <w:spacing w:line="360" w:lineRule="auto"/>
        <w:ind w:firstLine="640" w:firstLineChars="200"/>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jc w:val="center"/>
        <w:rPr>
          <w:rFonts w:ascii="黑体" w:hAnsi="黑体" w:eastAsia="黑体"/>
          <w:b/>
          <w:bCs/>
          <w:sz w:val="48"/>
          <w:szCs w:val="48"/>
        </w:rPr>
      </w:pPr>
      <w:r>
        <w:rPr>
          <w:rFonts w:hint="eastAsia" w:ascii="黑体" w:hAnsi="黑体" w:eastAsia="黑体"/>
          <w:b/>
          <w:bCs/>
          <w:sz w:val="48"/>
          <w:szCs w:val="48"/>
        </w:rPr>
        <w:t>目    录</w:t>
      </w:r>
    </w:p>
    <w:p>
      <w:pPr>
        <w:widowControl/>
        <w:spacing w:line="360" w:lineRule="auto"/>
        <w:rPr>
          <w:rFonts w:ascii="黑体" w:eastAsia="黑体"/>
          <w:kern w:val="0"/>
          <w:sz w:val="36"/>
          <w:szCs w:val="36"/>
        </w:rPr>
      </w:pPr>
    </w:p>
    <w:p>
      <w:pPr>
        <w:widowControl/>
        <w:spacing w:line="360" w:lineRule="auto"/>
        <w:rPr>
          <w:rFonts w:ascii="黑体" w:eastAsia="黑体"/>
          <w:kern w:val="0"/>
          <w:sz w:val="36"/>
          <w:szCs w:val="36"/>
        </w:rPr>
      </w:pPr>
      <w:r>
        <w:rPr>
          <w:rFonts w:hint="eastAsia" w:ascii="黑体" w:eastAsia="黑体"/>
          <w:kern w:val="0"/>
          <w:sz w:val="36"/>
          <w:szCs w:val="36"/>
        </w:rPr>
        <w:t>第一部分</w:t>
      </w:r>
      <w:r>
        <w:rPr>
          <w:rFonts w:ascii="黑体" w:eastAsia="黑体"/>
          <w:kern w:val="0"/>
          <w:sz w:val="36"/>
          <w:szCs w:val="36"/>
        </w:rPr>
        <w:t xml:space="preserve"> </w:t>
      </w:r>
      <w:r>
        <w:rPr>
          <w:rFonts w:hint="eastAsia" w:ascii="黑体" w:eastAsia="黑体"/>
          <w:kern w:val="0"/>
          <w:sz w:val="36"/>
          <w:szCs w:val="36"/>
        </w:rPr>
        <w:t>岭东区民政局概况</w:t>
      </w:r>
    </w:p>
    <w:p>
      <w:pPr>
        <w:widowControl/>
        <w:spacing w:line="360" w:lineRule="auto"/>
        <w:rPr>
          <w:rFonts w:ascii="仿宋_GB2312" w:eastAsia="仿宋_GB2312"/>
          <w:bCs/>
          <w:sz w:val="32"/>
          <w:szCs w:val="32"/>
        </w:rPr>
      </w:pPr>
      <w:r>
        <w:rPr>
          <w:rFonts w:hint="eastAsia" w:ascii="仿宋_GB2312" w:eastAsia="仿宋_GB2312"/>
          <w:bCs/>
          <w:sz w:val="32"/>
          <w:szCs w:val="32"/>
        </w:rPr>
        <w:t>一、部门职责</w:t>
      </w:r>
    </w:p>
    <w:p>
      <w:pPr>
        <w:widowControl/>
        <w:spacing w:line="360" w:lineRule="auto"/>
        <w:rPr>
          <w:rFonts w:ascii="仿宋_GB2312" w:eastAsia="仿宋_GB2312"/>
          <w:bCs/>
          <w:sz w:val="32"/>
          <w:szCs w:val="32"/>
        </w:rPr>
      </w:pPr>
      <w:r>
        <w:rPr>
          <w:rFonts w:hint="eastAsia" w:ascii="仿宋_GB2312" w:eastAsia="仿宋_GB2312"/>
          <w:bCs/>
          <w:sz w:val="32"/>
          <w:szCs w:val="32"/>
        </w:rPr>
        <w:t>二、部门机构设置</w:t>
      </w:r>
    </w:p>
    <w:p>
      <w:pPr>
        <w:widowControl/>
        <w:spacing w:line="360" w:lineRule="auto"/>
        <w:rPr>
          <w:rFonts w:ascii="仿宋_GB2312" w:eastAsia="仿宋_GB2312"/>
          <w:bCs/>
          <w:sz w:val="32"/>
          <w:szCs w:val="32"/>
        </w:rPr>
      </w:pPr>
      <w:r>
        <w:rPr>
          <w:rFonts w:hint="eastAsia" w:ascii="仿宋_GB2312" w:eastAsia="仿宋_GB2312"/>
          <w:bCs/>
          <w:sz w:val="32"/>
          <w:szCs w:val="32"/>
        </w:rPr>
        <w:t>三、部门人员构成</w:t>
      </w:r>
    </w:p>
    <w:p>
      <w:pPr>
        <w:widowControl/>
        <w:spacing w:line="360" w:lineRule="auto"/>
        <w:rPr>
          <w:rFonts w:ascii="黑体" w:eastAsia="黑体"/>
          <w:kern w:val="0"/>
          <w:sz w:val="36"/>
          <w:szCs w:val="36"/>
        </w:rPr>
      </w:pPr>
      <w:r>
        <w:rPr>
          <w:rFonts w:hint="eastAsia" w:ascii="黑体" w:eastAsia="黑体"/>
          <w:kern w:val="0"/>
          <w:sz w:val="36"/>
          <w:szCs w:val="36"/>
        </w:rPr>
        <w:t>第二部分 岭东区民政局2019年部门预算报表</w:t>
      </w:r>
    </w:p>
    <w:p>
      <w:pPr>
        <w:widowControl/>
        <w:spacing w:line="360" w:lineRule="auto"/>
        <w:rPr>
          <w:rFonts w:ascii="仿宋_GB2312" w:eastAsia="仿宋_GB2312"/>
          <w:bCs/>
          <w:sz w:val="32"/>
          <w:szCs w:val="32"/>
        </w:rPr>
      </w:pPr>
      <w:r>
        <w:rPr>
          <w:rFonts w:hint="eastAsia" w:ascii="仿宋_GB2312" w:eastAsia="仿宋_GB2312"/>
          <w:bCs/>
          <w:sz w:val="32"/>
          <w:szCs w:val="32"/>
        </w:rPr>
        <w:t>一、部门收支总体情况表</w:t>
      </w:r>
    </w:p>
    <w:p>
      <w:pPr>
        <w:widowControl/>
        <w:spacing w:line="360" w:lineRule="auto"/>
        <w:rPr>
          <w:rFonts w:ascii="仿宋_GB2312" w:eastAsia="仿宋_GB2312"/>
          <w:bCs/>
          <w:sz w:val="32"/>
          <w:szCs w:val="32"/>
        </w:rPr>
      </w:pPr>
      <w:r>
        <w:rPr>
          <w:rFonts w:hint="eastAsia" w:ascii="仿宋_GB2312" w:eastAsia="仿宋_GB2312"/>
          <w:bCs/>
          <w:sz w:val="32"/>
          <w:szCs w:val="32"/>
        </w:rPr>
        <w:t>二、部门收入总体情况表</w:t>
      </w:r>
    </w:p>
    <w:p>
      <w:pPr>
        <w:widowControl/>
        <w:spacing w:line="360" w:lineRule="auto"/>
        <w:rPr>
          <w:rFonts w:ascii="仿宋_GB2312" w:eastAsia="仿宋_GB2312"/>
          <w:bCs/>
          <w:sz w:val="32"/>
          <w:szCs w:val="32"/>
        </w:rPr>
      </w:pPr>
      <w:r>
        <w:rPr>
          <w:rFonts w:hint="eastAsia" w:ascii="仿宋_GB2312" w:eastAsia="仿宋_GB2312"/>
          <w:bCs/>
          <w:sz w:val="32"/>
          <w:szCs w:val="32"/>
        </w:rPr>
        <w:t>三、部门支出总体情况表</w:t>
      </w:r>
    </w:p>
    <w:p>
      <w:pPr>
        <w:widowControl/>
        <w:spacing w:line="360" w:lineRule="auto"/>
        <w:rPr>
          <w:rFonts w:ascii="仿宋_GB2312" w:eastAsia="仿宋_GB2312"/>
          <w:bCs/>
          <w:sz w:val="32"/>
          <w:szCs w:val="32"/>
        </w:rPr>
      </w:pPr>
      <w:r>
        <w:rPr>
          <w:rFonts w:hint="eastAsia" w:ascii="仿宋_GB2312" w:eastAsia="仿宋_GB2312"/>
          <w:bCs/>
          <w:sz w:val="32"/>
          <w:szCs w:val="32"/>
        </w:rPr>
        <w:t>四、财政拨款收支总体情况表</w:t>
      </w:r>
    </w:p>
    <w:p>
      <w:pPr>
        <w:widowControl/>
        <w:spacing w:line="360" w:lineRule="auto"/>
        <w:rPr>
          <w:rFonts w:ascii="仿宋_GB2312" w:eastAsia="仿宋_GB2312"/>
          <w:bCs/>
          <w:sz w:val="32"/>
          <w:szCs w:val="32"/>
        </w:rPr>
      </w:pPr>
      <w:r>
        <w:rPr>
          <w:rFonts w:hint="eastAsia" w:ascii="仿宋_GB2312" w:eastAsia="仿宋_GB2312"/>
          <w:bCs/>
          <w:sz w:val="32"/>
          <w:szCs w:val="32"/>
        </w:rPr>
        <w:t>五、一般公共预算支出情况表（功能科目）</w:t>
      </w:r>
    </w:p>
    <w:p>
      <w:pPr>
        <w:widowControl/>
        <w:spacing w:line="360" w:lineRule="auto"/>
        <w:rPr>
          <w:rFonts w:ascii="仿宋_GB2312" w:eastAsia="仿宋_GB2312"/>
          <w:bCs/>
          <w:sz w:val="32"/>
          <w:szCs w:val="32"/>
        </w:rPr>
      </w:pPr>
      <w:r>
        <w:rPr>
          <w:rFonts w:hint="eastAsia" w:ascii="仿宋_GB2312" w:eastAsia="仿宋_GB2312"/>
          <w:bCs/>
          <w:sz w:val="32"/>
          <w:szCs w:val="32"/>
        </w:rPr>
        <w:t>六、一般公共预算基本支出情况表（部门经济科目）</w:t>
      </w:r>
    </w:p>
    <w:p>
      <w:pPr>
        <w:widowControl/>
        <w:spacing w:line="360" w:lineRule="auto"/>
        <w:rPr>
          <w:rFonts w:ascii="仿宋_GB2312" w:eastAsia="仿宋_GB2312"/>
          <w:bCs/>
          <w:sz w:val="32"/>
          <w:szCs w:val="32"/>
        </w:rPr>
      </w:pPr>
      <w:r>
        <w:rPr>
          <w:rFonts w:hint="eastAsia" w:ascii="仿宋_GB2312" w:eastAsia="仿宋_GB2312"/>
          <w:bCs/>
          <w:sz w:val="32"/>
          <w:szCs w:val="32"/>
        </w:rPr>
        <w:t>七、一般公共预算支出情况表（政府经济科目）</w:t>
      </w:r>
    </w:p>
    <w:p>
      <w:pPr>
        <w:widowControl/>
        <w:spacing w:line="360" w:lineRule="auto"/>
        <w:rPr>
          <w:rFonts w:ascii="仿宋_GB2312" w:eastAsia="仿宋_GB2312"/>
          <w:bCs/>
          <w:sz w:val="32"/>
          <w:szCs w:val="32"/>
        </w:rPr>
      </w:pPr>
      <w:r>
        <w:rPr>
          <w:rFonts w:hint="eastAsia" w:ascii="仿宋_GB2312" w:eastAsia="仿宋_GB2312"/>
          <w:bCs/>
          <w:sz w:val="32"/>
          <w:szCs w:val="32"/>
        </w:rPr>
        <w:t>八、政府性基金预算支出情况表（功能科目）</w:t>
      </w:r>
    </w:p>
    <w:p>
      <w:pPr>
        <w:widowControl/>
        <w:spacing w:line="360" w:lineRule="auto"/>
        <w:rPr>
          <w:rFonts w:ascii="仿宋_GB2312" w:eastAsia="仿宋_GB2312"/>
          <w:bCs/>
          <w:sz w:val="32"/>
          <w:szCs w:val="32"/>
        </w:rPr>
      </w:pPr>
      <w:r>
        <w:rPr>
          <w:rFonts w:hint="eastAsia" w:ascii="仿宋_GB2312" w:eastAsia="仿宋_GB2312"/>
          <w:bCs/>
          <w:sz w:val="32"/>
          <w:szCs w:val="32"/>
        </w:rPr>
        <w:t>九、政府性基金预算支出情况表（部门经济科目）</w:t>
      </w:r>
    </w:p>
    <w:p>
      <w:pPr>
        <w:widowControl/>
        <w:spacing w:line="360" w:lineRule="auto"/>
        <w:rPr>
          <w:rFonts w:ascii="仿宋_GB2312" w:eastAsia="仿宋_GB2312"/>
          <w:bCs/>
          <w:sz w:val="32"/>
          <w:szCs w:val="32"/>
        </w:rPr>
      </w:pPr>
      <w:r>
        <w:rPr>
          <w:rFonts w:hint="eastAsia" w:ascii="仿宋_GB2312" w:eastAsia="仿宋_GB2312"/>
          <w:bCs/>
          <w:sz w:val="32"/>
          <w:szCs w:val="32"/>
        </w:rPr>
        <w:t>十、政府性基金预算支出情况表（政府经济科目）</w:t>
      </w:r>
    </w:p>
    <w:p>
      <w:pPr>
        <w:widowControl/>
        <w:spacing w:line="360" w:lineRule="auto"/>
        <w:rPr>
          <w:rFonts w:ascii="仿宋_GB2312" w:eastAsia="仿宋_GB2312"/>
          <w:bCs/>
          <w:sz w:val="32"/>
          <w:szCs w:val="32"/>
        </w:rPr>
      </w:pPr>
      <w:r>
        <w:rPr>
          <w:rFonts w:hint="eastAsia" w:ascii="仿宋_GB2312" w:eastAsia="仿宋_GB2312"/>
          <w:bCs/>
          <w:sz w:val="32"/>
          <w:szCs w:val="32"/>
        </w:rPr>
        <w:t>十一、一般公共预算“三公”经费支出情况表。</w:t>
      </w:r>
    </w:p>
    <w:p>
      <w:pPr>
        <w:widowControl/>
        <w:spacing w:line="360" w:lineRule="auto"/>
        <w:rPr>
          <w:rFonts w:ascii="黑体" w:eastAsia="黑体"/>
          <w:kern w:val="0"/>
          <w:sz w:val="36"/>
          <w:szCs w:val="36"/>
        </w:rPr>
      </w:pPr>
      <w:r>
        <w:rPr>
          <w:rFonts w:hint="eastAsia" w:ascii="黑体" w:eastAsia="黑体"/>
          <w:kern w:val="0"/>
          <w:sz w:val="36"/>
          <w:szCs w:val="36"/>
        </w:rPr>
        <w:t>第三部分 岭东区民政局2019年部门预算情况说明</w:t>
      </w:r>
    </w:p>
    <w:p>
      <w:pPr>
        <w:widowControl/>
        <w:spacing w:line="360" w:lineRule="auto"/>
        <w:rPr>
          <w:rFonts w:ascii="黑体" w:eastAsia="黑体"/>
          <w:kern w:val="0"/>
          <w:sz w:val="36"/>
          <w:szCs w:val="36"/>
        </w:rPr>
      </w:pPr>
      <w:r>
        <w:rPr>
          <w:rFonts w:hint="eastAsia" w:ascii="黑体" w:eastAsia="黑体"/>
          <w:kern w:val="0"/>
          <w:sz w:val="36"/>
          <w:szCs w:val="36"/>
        </w:rPr>
        <w:t>第四部分 名词解释</w:t>
      </w:r>
    </w:p>
    <w:p>
      <w:pPr>
        <w:widowControl/>
        <w:spacing w:line="360" w:lineRule="auto"/>
        <w:jc w:val="center"/>
        <w:rPr>
          <w:rFonts w:eastAsia="仿宋_GB2312"/>
          <w:bCs/>
          <w:sz w:val="32"/>
          <w:szCs w:val="32"/>
        </w:rPr>
      </w:pPr>
    </w:p>
    <w:p>
      <w:pPr>
        <w:widowControl/>
        <w:spacing w:line="360" w:lineRule="auto"/>
        <w:jc w:val="center"/>
        <w:rPr>
          <w:rFonts w:ascii="黑体" w:hAnsi="黑体" w:eastAsia="黑体"/>
          <w:bCs/>
          <w:sz w:val="32"/>
          <w:szCs w:val="32"/>
        </w:rPr>
      </w:pPr>
      <w:r>
        <w:rPr>
          <w:rFonts w:hint="eastAsia" w:ascii="黑体" w:hAnsi="黑体" w:eastAsia="黑体"/>
          <w:bCs/>
          <w:sz w:val="32"/>
          <w:szCs w:val="32"/>
        </w:rPr>
        <w:t>第一部分    岭东区民政局部门概况</w:t>
      </w:r>
    </w:p>
    <w:p>
      <w:pPr>
        <w:widowControl/>
        <w:spacing w:line="360" w:lineRule="auto"/>
        <w:ind w:firstLine="640" w:firstLineChars="200"/>
        <w:rPr>
          <w:rFonts w:ascii="仿宋_GB2312" w:hAnsi="黑体" w:eastAsia="仿宋_GB2312"/>
          <w:bCs/>
          <w:sz w:val="32"/>
          <w:szCs w:val="32"/>
        </w:rPr>
      </w:pPr>
    </w:p>
    <w:p>
      <w:pPr>
        <w:widowControl/>
        <w:numPr>
          <w:ilvl w:val="0"/>
          <w:numId w:val="1"/>
        </w:numPr>
        <w:spacing w:line="360" w:lineRule="auto"/>
        <w:ind w:firstLine="643" w:firstLineChars="200"/>
        <w:rPr>
          <w:rFonts w:ascii="楷体_GB2312" w:hAnsi="黑体" w:eastAsia="楷体_GB2312"/>
          <w:b/>
          <w:bCs/>
          <w:sz w:val="32"/>
          <w:szCs w:val="32"/>
        </w:rPr>
      </w:pPr>
      <w:r>
        <w:rPr>
          <w:rFonts w:hint="eastAsia" w:ascii="楷体_GB2312" w:hAnsi="黑体" w:eastAsia="楷体_GB2312"/>
          <w:b/>
          <w:bCs/>
          <w:sz w:val="32"/>
          <w:szCs w:val="32"/>
        </w:rPr>
        <w:t>部门职责</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(一)贯彻执行国家民政工作的法律、法规和各项方针政策。</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(二)实施城乡居民最低</w:t>
      </w:r>
      <w:r>
        <w:fldChar w:fldCharType="begin"/>
      </w:r>
      <w:r>
        <w:instrText xml:space="preserve">HYPERLINK "http://www.oh100.com/zuowen/shenghuo/" \t "_blank" </w:instrText>
      </w:r>
      <w:r>
        <w:fldChar w:fldCharType="separate"/>
      </w:r>
      <w:r>
        <w:rPr>
          <w:rFonts w:hint="eastAsia" w:ascii="仿宋_GB2312" w:hAnsi="黑体" w:eastAsia="仿宋_GB2312" w:cs="黑体"/>
          <w:bCs/>
          <w:kern w:val="2"/>
          <w:sz w:val="32"/>
          <w:szCs w:val="32"/>
        </w:rPr>
        <w:t>生活</w:t>
      </w:r>
      <w:r>
        <w:fldChar w:fldCharType="end"/>
      </w:r>
      <w:r>
        <w:rPr>
          <w:rFonts w:hint="eastAsia" w:ascii="仿宋_GB2312" w:hAnsi="黑体" w:eastAsia="仿宋_GB2312" w:cs="黑体"/>
          <w:bCs/>
          <w:kern w:val="2"/>
          <w:sz w:val="32"/>
          <w:szCs w:val="32"/>
        </w:rPr>
        <w:t>保障制度,执行各类救济对象的救济规定及标准。</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三)贯彻实施村(居)民委员会组织法，研究提出加强和改进基层政权建设的意见和建议;指导村民委员会选举、民主决策、民主管理和民主监督工作，推进村务公开和基层民主政治建设;指导城市居民委员会建设，负责村(居)民委员会主任培训;制订社区工作、服务管理办法，推动社区建设。</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(四)负责全区救灾救济工作。组织核查灾情上报，管理、分配有关救灾款物并监督使用;组织、指导救灾捐赠款物的接收、分配，对救灾款物的使用情况进行检查、监督;指导灾民转移安置、灾后生产自救。</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(五)负责管理全区社团和</w:t>
      </w:r>
      <w:r>
        <w:fldChar w:fldCharType="begin"/>
      </w:r>
      <w:r>
        <w:instrText xml:space="preserve">HYPERLINK "http://www.so.com/s?q=%E6%B0%91%E5%8A%9E%E9%9D%9E%E4%BC%81%E4%B8%9A%E5%8D%95%E4%BD%8D&amp;ie=utf-8&amp;src=se_lighten_f" \t "_blank" </w:instrText>
      </w:r>
      <w:r>
        <w:fldChar w:fldCharType="separate"/>
      </w:r>
      <w:r>
        <w:rPr>
          <w:rFonts w:hint="eastAsia" w:ascii="仿宋_GB2312" w:hAnsi="黑体" w:eastAsia="仿宋_GB2312" w:cs="黑体"/>
          <w:bCs/>
          <w:kern w:val="2"/>
          <w:sz w:val="32"/>
          <w:szCs w:val="32"/>
        </w:rPr>
        <w:t>民办非企业单位</w:t>
      </w:r>
      <w:r>
        <w:fldChar w:fldCharType="end"/>
      </w:r>
      <w:r>
        <w:rPr>
          <w:rFonts w:hint="eastAsia" w:ascii="仿宋_GB2312" w:hAnsi="黑体" w:eastAsia="仿宋_GB2312" w:cs="黑体"/>
          <w:bCs/>
          <w:kern w:val="2"/>
          <w:sz w:val="32"/>
          <w:szCs w:val="32"/>
        </w:rPr>
        <w:t>的登记和年度检查工作，监督社区和民办非企业单位活动，查处社团组织的违法行为和未经登记而以社团名义开展活动的非法组织;指导、监督社区和民办非企业单位开展正常工作。</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(六)组织、指导全区拥军优属活动;落实各项优抚政策;负责全区拥军优属拥政</w:t>
      </w:r>
      <w:r>
        <w:fldChar w:fldCharType="begin"/>
      </w:r>
      <w:r>
        <w:instrText xml:space="preserve">HYPERLINK "http://www.oh100.com/zuowen/ai/" \t "_blank" </w:instrText>
      </w:r>
      <w:r>
        <w:fldChar w:fldCharType="separate"/>
      </w:r>
      <w:r>
        <w:rPr>
          <w:rFonts w:hint="eastAsia" w:ascii="仿宋_GB2312" w:hAnsi="黑体" w:eastAsia="仿宋_GB2312" w:cs="黑体"/>
          <w:bCs/>
          <w:kern w:val="2"/>
          <w:sz w:val="32"/>
          <w:szCs w:val="32"/>
        </w:rPr>
        <w:t>爱</w:t>
      </w:r>
      <w:r>
        <w:fldChar w:fldCharType="end"/>
      </w:r>
      <w:r>
        <w:rPr>
          <w:rFonts w:hint="eastAsia" w:ascii="仿宋_GB2312" w:hAnsi="黑体" w:eastAsia="仿宋_GB2312" w:cs="黑体"/>
          <w:bCs/>
          <w:kern w:val="2"/>
          <w:sz w:val="32"/>
          <w:szCs w:val="32"/>
        </w:rPr>
        <w:t>民工作。</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(七)负责全区婚姻登记管理、行政区划地名、殡葬管理等社会事务性工作。</w:t>
      </w:r>
    </w:p>
    <w:p>
      <w:pPr>
        <w:pStyle w:val="3"/>
        <w:spacing w:beforeAutospacing="0" w:afterAutospacing="0" w:line="600" w:lineRule="exact"/>
        <w:ind w:firstLine="640" w:firstLineChars="200"/>
        <w:rPr>
          <w:rFonts w:ascii="仿宋_GB2312" w:hAnsi="黑体" w:eastAsia="仿宋_GB2312" w:cs="黑体"/>
          <w:bCs/>
          <w:kern w:val="2"/>
          <w:sz w:val="32"/>
          <w:szCs w:val="32"/>
        </w:rPr>
      </w:pPr>
      <w:r>
        <w:rPr>
          <w:rFonts w:hint="eastAsia" w:ascii="仿宋_GB2312" w:hAnsi="黑体" w:eastAsia="仿宋_GB2312" w:cs="黑体"/>
          <w:bCs/>
          <w:kern w:val="2"/>
          <w:sz w:val="32"/>
          <w:szCs w:val="32"/>
        </w:rPr>
        <w:t>(八)负责老龄工作的综合协调、统筹规划、调查研究，提出发展老年事业的意见，指导开展老年活动，维护老年人的合法权益。</w:t>
      </w:r>
    </w:p>
    <w:p>
      <w:pPr>
        <w:pStyle w:val="3"/>
        <w:spacing w:beforeAutospacing="0" w:afterAutospacing="0" w:line="600" w:lineRule="exact"/>
        <w:ind w:firstLine="640" w:firstLineChars="200"/>
        <w:rPr>
          <w:rFonts w:ascii="楷体_GB2312" w:hAnsi="黑体" w:eastAsia="楷体_GB2312"/>
          <w:b/>
          <w:bCs/>
          <w:sz w:val="32"/>
          <w:szCs w:val="32"/>
        </w:rPr>
      </w:pPr>
      <w:r>
        <w:rPr>
          <w:rFonts w:hint="eastAsia" w:ascii="仿宋_GB2312" w:hAnsi="黑体" w:eastAsia="仿宋_GB2312" w:cs="黑体"/>
          <w:bCs/>
          <w:kern w:val="2"/>
          <w:sz w:val="32"/>
          <w:szCs w:val="32"/>
        </w:rPr>
        <w:t>(九)做好城市生活无着落、流浪乞讨人员救助管理工作，负责实施未成年人救助保护工作。</w:t>
      </w:r>
    </w:p>
    <w:p>
      <w:pPr>
        <w:widowControl/>
        <w:spacing w:line="360" w:lineRule="auto"/>
        <w:ind w:firstLine="643" w:firstLineChars="200"/>
        <w:rPr>
          <w:rFonts w:ascii="楷体_GB2312" w:hAnsi="黑体" w:eastAsia="楷体_GB2312"/>
          <w:b/>
          <w:bCs/>
          <w:sz w:val="32"/>
          <w:szCs w:val="32"/>
        </w:rPr>
      </w:pPr>
      <w:r>
        <w:rPr>
          <w:rFonts w:hint="eastAsia" w:ascii="楷体_GB2312" w:hAnsi="黑体" w:eastAsia="楷体_GB2312"/>
          <w:b/>
          <w:bCs/>
          <w:sz w:val="32"/>
          <w:szCs w:val="32"/>
        </w:rPr>
        <w:t>二、部门机构设置</w:t>
      </w:r>
    </w:p>
    <w:p>
      <w:pPr>
        <w:widowControl/>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双鸭山市岭东区民政局预算是包括岭东区怡心苑养老中心本部以及下属2家预算单位的综合收支计划。本部门中，行政单位1家，参公事业单位0家，事业单位1家，具体情况如下：</w:t>
      </w:r>
    </w:p>
    <w:tbl>
      <w:tblPr>
        <w:tblStyle w:val="7"/>
        <w:tblW w:w="8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6"/>
        <w:gridCol w:w="4605"/>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spacing w:line="360" w:lineRule="auto"/>
              <w:jc w:val="center"/>
              <w:rPr>
                <w:rFonts w:ascii="仿宋_GB2312" w:hAnsi="黑体" w:eastAsia="仿宋_GB2312"/>
                <w:bCs/>
                <w:sz w:val="32"/>
                <w:szCs w:val="32"/>
              </w:rPr>
            </w:pPr>
            <w:r>
              <w:rPr>
                <w:rFonts w:hint="eastAsia" w:ascii="仿宋_GB2312" w:hAnsi="黑体" w:eastAsia="仿宋_GB2312"/>
                <w:bCs/>
                <w:sz w:val="32"/>
                <w:szCs w:val="32"/>
              </w:rPr>
              <w:t>序号</w:t>
            </w:r>
          </w:p>
        </w:tc>
        <w:tc>
          <w:tcPr>
            <w:tcW w:w="4605" w:type="dxa"/>
            <w:vAlign w:val="top"/>
          </w:tcPr>
          <w:p>
            <w:pPr>
              <w:widowControl/>
              <w:spacing w:line="360" w:lineRule="auto"/>
              <w:jc w:val="center"/>
              <w:rPr>
                <w:rFonts w:ascii="仿宋_GB2312" w:hAnsi="黑体" w:eastAsia="仿宋_GB2312"/>
                <w:bCs/>
                <w:sz w:val="32"/>
                <w:szCs w:val="32"/>
              </w:rPr>
            </w:pPr>
            <w:r>
              <w:rPr>
                <w:rFonts w:hint="eastAsia" w:ascii="仿宋_GB2312" w:hAnsi="黑体" w:eastAsia="仿宋_GB2312"/>
                <w:bCs/>
                <w:sz w:val="32"/>
                <w:szCs w:val="32"/>
              </w:rPr>
              <w:t>单位名称</w:t>
            </w:r>
          </w:p>
        </w:tc>
        <w:tc>
          <w:tcPr>
            <w:tcW w:w="2765" w:type="dxa"/>
            <w:vAlign w:val="top"/>
          </w:tcPr>
          <w:p>
            <w:pPr>
              <w:widowControl/>
              <w:spacing w:line="360" w:lineRule="auto"/>
              <w:jc w:val="center"/>
              <w:rPr>
                <w:rFonts w:ascii="仿宋_GB2312" w:hAnsi="黑体" w:eastAsia="仿宋_GB2312"/>
                <w:bCs/>
                <w:sz w:val="32"/>
                <w:szCs w:val="32"/>
              </w:rPr>
            </w:pPr>
            <w:r>
              <w:rPr>
                <w:rFonts w:hint="eastAsia" w:ascii="仿宋_GB2312" w:hAnsi="黑体" w:eastAsia="仿宋_GB2312"/>
                <w:bCs/>
                <w:sz w:val="32"/>
                <w:szCs w:val="32"/>
              </w:rPr>
              <w:t>单位性质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spacing w:line="360" w:lineRule="auto"/>
              <w:rPr>
                <w:rFonts w:ascii="仿宋_GB2312" w:hAnsi="黑体" w:eastAsia="仿宋_GB2312"/>
                <w:bCs/>
                <w:sz w:val="32"/>
                <w:szCs w:val="32"/>
              </w:rPr>
            </w:pPr>
            <w:r>
              <w:rPr>
                <w:rFonts w:hint="eastAsia" w:ascii="仿宋_GB2312" w:hAnsi="黑体" w:eastAsia="仿宋_GB2312"/>
                <w:bCs/>
                <w:sz w:val="32"/>
                <w:szCs w:val="32"/>
              </w:rPr>
              <w:t>1</w:t>
            </w:r>
          </w:p>
        </w:tc>
        <w:tc>
          <w:tcPr>
            <w:tcW w:w="4605" w:type="dxa"/>
            <w:vAlign w:val="top"/>
          </w:tcPr>
          <w:p>
            <w:pPr>
              <w:widowControl/>
              <w:spacing w:line="360" w:lineRule="auto"/>
              <w:rPr>
                <w:rFonts w:ascii="仿宋_GB2312" w:hAnsi="黑体" w:eastAsia="仿宋_GB2312"/>
                <w:bCs/>
                <w:sz w:val="32"/>
                <w:szCs w:val="32"/>
              </w:rPr>
            </w:pPr>
            <w:r>
              <w:rPr>
                <w:rFonts w:hint="eastAsia" w:ascii="仿宋_GB2312" w:hAnsi="黑体" w:eastAsia="仿宋_GB2312"/>
                <w:bCs/>
                <w:sz w:val="32"/>
                <w:szCs w:val="32"/>
              </w:rPr>
              <w:t>双鸭山市岭东区民政局</w:t>
            </w:r>
          </w:p>
        </w:tc>
        <w:tc>
          <w:tcPr>
            <w:tcW w:w="2765" w:type="dxa"/>
            <w:vAlign w:val="top"/>
          </w:tcPr>
          <w:p>
            <w:pPr>
              <w:widowControl/>
              <w:spacing w:line="360" w:lineRule="auto"/>
              <w:rPr>
                <w:rFonts w:ascii="仿宋_GB2312" w:hAnsi="黑体" w:eastAsia="仿宋_GB2312"/>
                <w:bCs/>
                <w:sz w:val="32"/>
                <w:szCs w:val="32"/>
              </w:rPr>
            </w:pPr>
            <w:r>
              <w:rPr>
                <w:rFonts w:hint="eastAsia" w:ascii="仿宋_GB2312" w:hAnsi="黑体" w:eastAsia="仿宋_GB2312"/>
                <w:bCs/>
                <w:sz w:val="32"/>
                <w:szCs w:val="32"/>
              </w:rPr>
              <w:t>行政单位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spacing w:line="360" w:lineRule="auto"/>
              <w:rPr>
                <w:rFonts w:ascii="仿宋_GB2312" w:hAnsi="黑体" w:eastAsia="仿宋_GB2312"/>
                <w:bCs/>
                <w:sz w:val="32"/>
                <w:szCs w:val="32"/>
              </w:rPr>
            </w:pPr>
            <w:r>
              <w:rPr>
                <w:rFonts w:hint="eastAsia" w:ascii="仿宋_GB2312" w:hAnsi="黑体" w:eastAsia="仿宋_GB2312"/>
                <w:bCs/>
                <w:sz w:val="32"/>
                <w:szCs w:val="32"/>
              </w:rPr>
              <w:t>2</w:t>
            </w:r>
          </w:p>
        </w:tc>
        <w:tc>
          <w:tcPr>
            <w:tcW w:w="4605" w:type="dxa"/>
            <w:vAlign w:val="top"/>
          </w:tcPr>
          <w:p>
            <w:pPr>
              <w:widowControl/>
              <w:spacing w:line="360" w:lineRule="auto"/>
              <w:rPr>
                <w:rFonts w:ascii="仿宋_GB2312" w:hAnsi="黑体" w:eastAsia="仿宋_GB2312"/>
                <w:bCs/>
                <w:sz w:val="30"/>
                <w:szCs w:val="30"/>
              </w:rPr>
            </w:pPr>
            <w:r>
              <w:rPr>
                <w:rFonts w:hint="eastAsia" w:ascii="仿宋_GB2312" w:hAnsi="黑体" w:eastAsia="仿宋_GB2312"/>
                <w:bCs/>
                <w:sz w:val="30"/>
                <w:szCs w:val="30"/>
              </w:rPr>
              <w:t>双鸭山市岭东区怡心苑养老中心</w:t>
            </w:r>
          </w:p>
        </w:tc>
        <w:tc>
          <w:tcPr>
            <w:tcW w:w="2765" w:type="dxa"/>
            <w:vAlign w:val="top"/>
          </w:tcPr>
          <w:p>
            <w:pPr>
              <w:widowControl/>
              <w:spacing w:line="360" w:lineRule="auto"/>
              <w:jc w:val="left"/>
              <w:rPr>
                <w:rFonts w:ascii="仿宋_GB2312" w:hAnsi="黑体" w:eastAsia="仿宋_GB2312"/>
                <w:bCs/>
                <w:sz w:val="32"/>
                <w:szCs w:val="32"/>
              </w:rPr>
            </w:pPr>
            <w:r>
              <w:rPr>
                <w:rFonts w:hint="eastAsia" w:ascii="仿宋_GB2312" w:hAnsi="黑体" w:eastAsia="仿宋_GB2312"/>
                <w:bCs/>
                <w:sz w:val="32"/>
                <w:szCs w:val="32"/>
              </w:rPr>
              <w:t>事业单位</w:t>
            </w:r>
          </w:p>
        </w:tc>
      </w:tr>
    </w:tbl>
    <w:p>
      <w:pPr>
        <w:widowControl/>
        <w:spacing w:line="360" w:lineRule="auto"/>
        <w:ind w:firstLine="643" w:firstLineChars="200"/>
        <w:rPr>
          <w:rFonts w:ascii="楷体_GB2312" w:hAnsi="黑体" w:eastAsia="楷体_GB2312"/>
          <w:b/>
          <w:bCs/>
          <w:sz w:val="32"/>
          <w:szCs w:val="32"/>
        </w:rPr>
      </w:pPr>
      <w:r>
        <w:rPr>
          <w:rFonts w:hint="eastAsia" w:ascii="楷体_GB2312" w:hAnsi="黑体" w:eastAsia="楷体_GB2312"/>
          <w:b/>
          <w:bCs/>
          <w:sz w:val="32"/>
          <w:szCs w:val="32"/>
        </w:rPr>
        <w:t>三、部门人员构成</w:t>
      </w:r>
    </w:p>
    <w:p>
      <w:pPr>
        <w:widowControl/>
        <w:spacing w:line="360" w:lineRule="auto"/>
        <w:ind w:firstLine="640" w:firstLineChars="200"/>
        <w:rPr>
          <w:rFonts w:ascii="仿宋_GB2312" w:eastAsia="仿宋_GB2312"/>
          <w:bCs/>
          <w:sz w:val="32"/>
          <w:szCs w:val="32"/>
        </w:rPr>
      </w:pPr>
      <w:r>
        <w:rPr>
          <w:rFonts w:hint="eastAsia" w:ascii="仿宋_GB2312" w:hAnsi="黑体" w:eastAsia="仿宋_GB2312"/>
          <w:bCs/>
          <w:sz w:val="32"/>
          <w:szCs w:val="32"/>
        </w:rPr>
        <w:t>双鸭山市岭东区民政局总编制人数12人，在职实有人数12人，其中：行政编制3人、参公编制0人、事业编制9人；退休人员0人。与2018年对比，退休人员无变化。</w:t>
      </w:r>
    </w:p>
    <w:p>
      <w:pPr>
        <w:widowControl/>
        <w:spacing w:line="360" w:lineRule="auto"/>
        <w:jc w:val="center"/>
        <w:rPr>
          <w:rFonts w:ascii="黑体" w:hAnsi="黑体" w:eastAsia="黑体"/>
          <w:bCs/>
          <w:sz w:val="32"/>
          <w:szCs w:val="32"/>
        </w:rPr>
      </w:pPr>
    </w:p>
    <w:p>
      <w:pPr>
        <w:widowControl/>
        <w:spacing w:line="360" w:lineRule="auto"/>
        <w:jc w:val="center"/>
        <w:rPr>
          <w:rFonts w:ascii="黑体" w:hAnsi="黑体" w:eastAsia="黑体"/>
          <w:bCs/>
          <w:sz w:val="32"/>
          <w:szCs w:val="32"/>
        </w:rPr>
      </w:pPr>
      <w:r>
        <w:rPr>
          <w:rFonts w:hint="eastAsia" w:ascii="黑体" w:hAnsi="黑体" w:eastAsia="黑体"/>
          <w:bCs/>
          <w:sz w:val="32"/>
          <w:szCs w:val="32"/>
        </w:rPr>
        <w:t>第二部分    岭东区民政局2019</w:t>
      </w:r>
      <w:r>
        <w:rPr>
          <w:rFonts w:ascii="黑体" w:hAnsi="黑体" w:eastAsia="黑体"/>
          <w:bCs/>
          <w:sz w:val="32"/>
          <w:szCs w:val="32"/>
        </w:rPr>
        <w:t>年部门预算</w:t>
      </w:r>
      <w:r>
        <w:rPr>
          <w:rFonts w:hint="eastAsia" w:ascii="黑体" w:hAnsi="黑体" w:eastAsia="黑体"/>
          <w:bCs/>
          <w:sz w:val="32"/>
          <w:szCs w:val="32"/>
        </w:rPr>
        <w:t>公开报</w:t>
      </w:r>
      <w:r>
        <w:rPr>
          <w:rFonts w:ascii="黑体" w:hAnsi="黑体" w:eastAsia="黑体"/>
          <w:bCs/>
          <w:sz w:val="32"/>
          <w:szCs w:val="32"/>
        </w:rPr>
        <w:t>表</w:t>
      </w:r>
    </w:p>
    <w:p>
      <w:pPr>
        <w:spacing w:line="360" w:lineRule="auto"/>
        <w:ind w:firstLine="640" w:firstLineChars="200"/>
        <w:rPr>
          <w:rFonts w:eastAsia="仿宋_GB2312"/>
          <w:kern w:val="0"/>
          <w:sz w:val="32"/>
          <w:szCs w:val="32"/>
        </w:rPr>
      </w:pPr>
    </w:p>
    <w:p>
      <w:pPr>
        <w:spacing w:line="360" w:lineRule="auto"/>
        <w:ind w:firstLine="640" w:firstLineChars="200"/>
        <w:rPr>
          <w:rFonts w:eastAsia="仿宋_GB2312"/>
          <w:sz w:val="32"/>
          <w:szCs w:val="32"/>
        </w:rPr>
      </w:pPr>
      <w:r>
        <w:rPr>
          <w:rFonts w:hint="eastAsia" w:eastAsia="仿宋_GB2312"/>
          <w:kern w:val="0"/>
          <w:sz w:val="32"/>
          <w:szCs w:val="32"/>
        </w:rPr>
        <w:t>一、</w:t>
      </w:r>
      <w:bookmarkStart w:id="0" w:name="OLE_LINK1"/>
      <w:r>
        <w:rPr>
          <w:rFonts w:eastAsia="仿宋_GB2312"/>
          <w:kern w:val="0"/>
          <w:sz w:val="32"/>
          <w:szCs w:val="32"/>
        </w:rPr>
        <w:t>部门</w:t>
      </w:r>
      <w:r>
        <w:rPr>
          <w:rFonts w:hint="eastAsia" w:eastAsia="仿宋_GB2312"/>
          <w:kern w:val="0"/>
          <w:sz w:val="32"/>
          <w:szCs w:val="32"/>
        </w:rPr>
        <w:t>收支总体情况表</w:t>
      </w:r>
      <w:bookmarkEnd w:id="0"/>
    </w:p>
    <w:p>
      <w:pPr>
        <w:spacing w:line="360" w:lineRule="auto"/>
        <w:ind w:left="640"/>
        <w:rPr>
          <w:rFonts w:eastAsia="仿宋_GB2312"/>
          <w:kern w:val="0"/>
          <w:sz w:val="32"/>
          <w:szCs w:val="32"/>
        </w:rPr>
      </w:pPr>
      <w:r>
        <w:rPr>
          <w:rFonts w:hint="eastAsia" w:eastAsia="仿宋_GB2312"/>
          <w:kern w:val="0"/>
          <w:sz w:val="32"/>
          <w:szCs w:val="32"/>
        </w:rPr>
        <w:t>二、</w:t>
      </w:r>
      <w:r>
        <w:rPr>
          <w:rFonts w:eastAsia="仿宋_GB2312"/>
          <w:kern w:val="0"/>
          <w:sz w:val="32"/>
          <w:szCs w:val="32"/>
        </w:rPr>
        <w:t>部门收入</w:t>
      </w:r>
      <w:r>
        <w:rPr>
          <w:rFonts w:hint="eastAsia" w:eastAsia="仿宋_GB2312"/>
          <w:kern w:val="0"/>
          <w:sz w:val="32"/>
          <w:szCs w:val="32"/>
        </w:rPr>
        <w:t>总体情况表</w:t>
      </w:r>
    </w:p>
    <w:p>
      <w:pPr>
        <w:spacing w:line="360" w:lineRule="auto"/>
        <w:ind w:left="640"/>
        <w:rPr>
          <w:rFonts w:eastAsia="仿宋_GB2312"/>
          <w:kern w:val="0"/>
          <w:sz w:val="32"/>
          <w:szCs w:val="32"/>
        </w:rPr>
      </w:pPr>
      <w:r>
        <w:rPr>
          <w:rFonts w:hint="eastAsia" w:eastAsia="仿宋_GB2312"/>
          <w:kern w:val="0"/>
          <w:sz w:val="32"/>
          <w:szCs w:val="32"/>
        </w:rPr>
        <w:t>三、</w:t>
      </w:r>
      <w:r>
        <w:rPr>
          <w:rFonts w:eastAsia="仿宋_GB2312"/>
          <w:kern w:val="0"/>
          <w:sz w:val="32"/>
          <w:szCs w:val="32"/>
        </w:rPr>
        <w:t>部门支出</w:t>
      </w:r>
      <w:r>
        <w:rPr>
          <w:rFonts w:hint="eastAsia" w:eastAsia="仿宋_GB2312"/>
          <w:kern w:val="0"/>
          <w:sz w:val="32"/>
          <w:szCs w:val="32"/>
        </w:rPr>
        <w:t>总体情况表</w:t>
      </w:r>
    </w:p>
    <w:p>
      <w:pPr>
        <w:spacing w:line="360" w:lineRule="auto"/>
        <w:ind w:left="640"/>
        <w:rPr>
          <w:rFonts w:eastAsia="仿宋_GB2312"/>
          <w:kern w:val="0"/>
          <w:sz w:val="32"/>
          <w:szCs w:val="32"/>
        </w:rPr>
      </w:pPr>
      <w:r>
        <w:rPr>
          <w:rFonts w:hint="eastAsia" w:eastAsia="仿宋_GB2312"/>
          <w:kern w:val="0"/>
          <w:sz w:val="32"/>
          <w:szCs w:val="32"/>
        </w:rPr>
        <w:t>四、</w:t>
      </w:r>
      <w:r>
        <w:rPr>
          <w:rFonts w:eastAsia="仿宋_GB2312"/>
          <w:kern w:val="0"/>
          <w:sz w:val="32"/>
          <w:szCs w:val="32"/>
        </w:rPr>
        <w:t>财政拨款收支</w:t>
      </w:r>
      <w:r>
        <w:rPr>
          <w:rFonts w:hint="eastAsia" w:eastAsia="仿宋_GB2312"/>
          <w:kern w:val="0"/>
          <w:sz w:val="32"/>
          <w:szCs w:val="32"/>
        </w:rPr>
        <w:t>总体情况表</w:t>
      </w:r>
    </w:p>
    <w:p>
      <w:pPr>
        <w:spacing w:line="360" w:lineRule="auto"/>
        <w:ind w:left="640"/>
        <w:rPr>
          <w:rFonts w:eastAsia="仿宋_GB2312"/>
          <w:kern w:val="0"/>
          <w:sz w:val="32"/>
          <w:szCs w:val="32"/>
        </w:rPr>
      </w:pPr>
      <w:r>
        <w:rPr>
          <w:rFonts w:hint="eastAsia" w:eastAsia="仿宋_GB2312"/>
          <w:kern w:val="0"/>
          <w:sz w:val="32"/>
          <w:szCs w:val="32"/>
        </w:rPr>
        <w:t>五、</w:t>
      </w:r>
      <w:r>
        <w:rPr>
          <w:rFonts w:eastAsia="仿宋_GB2312"/>
          <w:kern w:val="0"/>
          <w:sz w:val="32"/>
          <w:szCs w:val="32"/>
        </w:rPr>
        <w:t>一般公共预算支出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功能</w:t>
      </w:r>
      <w:r>
        <w:rPr>
          <w:rFonts w:hint="eastAsia" w:eastAsia="仿宋_GB2312"/>
          <w:kern w:val="0"/>
          <w:sz w:val="32"/>
          <w:szCs w:val="32"/>
        </w:rPr>
        <w:t>科目）</w:t>
      </w:r>
    </w:p>
    <w:p>
      <w:pPr>
        <w:spacing w:line="360" w:lineRule="auto"/>
        <w:ind w:left="640"/>
        <w:rPr>
          <w:rFonts w:eastAsia="仿宋_GB2312"/>
          <w:kern w:val="0"/>
          <w:sz w:val="32"/>
          <w:szCs w:val="32"/>
        </w:rPr>
      </w:pPr>
      <w:r>
        <w:rPr>
          <w:rFonts w:hint="eastAsia" w:eastAsia="仿宋_GB2312"/>
          <w:kern w:val="0"/>
          <w:sz w:val="32"/>
          <w:szCs w:val="32"/>
        </w:rPr>
        <w:t>六、</w:t>
      </w:r>
      <w:r>
        <w:rPr>
          <w:rFonts w:eastAsia="仿宋_GB2312"/>
          <w:kern w:val="0"/>
          <w:sz w:val="32"/>
          <w:szCs w:val="32"/>
        </w:rPr>
        <w:t>一般公共预算</w:t>
      </w:r>
      <w:r>
        <w:rPr>
          <w:rFonts w:hint="eastAsia" w:eastAsia="仿宋_GB2312"/>
          <w:kern w:val="0"/>
          <w:sz w:val="32"/>
          <w:szCs w:val="32"/>
        </w:rPr>
        <w:t>基本</w:t>
      </w:r>
      <w:r>
        <w:rPr>
          <w:rFonts w:eastAsia="仿宋_GB2312"/>
          <w:kern w:val="0"/>
          <w:sz w:val="32"/>
          <w:szCs w:val="32"/>
        </w:rPr>
        <w:t>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部门</w:t>
      </w:r>
      <w:r>
        <w:rPr>
          <w:rFonts w:hint="eastAsia" w:eastAsia="仿宋_GB2312"/>
          <w:kern w:val="0"/>
          <w:sz w:val="32"/>
          <w:szCs w:val="32"/>
        </w:rPr>
        <w:t>经济科目）</w:t>
      </w:r>
    </w:p>
    <w:p>
      <w:pPr>
        <w:numPr>
          <w:ilvl w:val="0"/>
          <w:numId w:val="2"/>
        </w:numPr>
        <w:spacing w:line="360" w:lineRule="auto"/>
        <w:rPr>
          <w:rFonts w:eastAsia="仿宋_GB2312"/>
          <w:kern w:val="0"/>
          <w:sz w:val="32"/>
          <w:szCs w:val="32"/>
        </w:rPr>
      </w:pPr>
      <w:r>
        <w:rPr>
          <w:rFonts w:eastAsia="仿宋_GB2312"/>
          <w:kern w:val="0"/>
          <w:sz w:val="32"/>
          <w:szCs w:val="32"/>
        </w:rPr>
        <w:t>一般公共预算支出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（政府经济科目）</w:t>
      </w:r>
    </w:p>
    <w:p>
      <w:pPr>
        <w:numPr>
          <w:ilvl w:val="0"/>
          <w:numId w:val="2"/>
        </w:numPr>
        <w:spacing w:line="360" w:lineRule="auto"/>
        <w:rPr>
          <w:rFonts w:eastAsia="仿宋_GB2312"/>
          <w:kern w:val="0"/>
          <w:sz w:val="32"/>
          <w:szCs w:val="32"/>
        </w:rPr>
      </w:pPr>
      <w:r>
        <w:rPr>
          <w:rFonts w:eastAsia="仿宋_GB2312"/>
          <w:kern w:val="0"/>
          <w:sz w:val="32"/>
          <w:szCs w:val="32"/>
        </w:rPr>
        <w:t>政府性基金预算支出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功能</w:t>
      </w:r>
      <w:r>
        <w:rPr>
          <w:rFonts w:hint="eastAsia" w:eastAsia="仿宋_GB2312"/>
          <w:kern w:val="0"/>
          <w:sz w:val="32"/>
          <w:szCs w:val="32"/>
        </w:rPr>
        <w:t>科目）</w:t>
      </w:r>
    </w:p>
    <w:p>
      <w:pPr>
        <w:numPr>
          <w:ilvl w:val="0"/>
          <w:numId w:val="2"/>
        </w:numPr>
        <w:spacing w:line="360" w:lineRule="auto"/>
        <w:rPr>
          <w:rFonts w:eastAsia="仿宋_GB2312"/>
          <w:kern w:val="0"/>
          <w:sz w:val="32"/>
          <w:szCs w:val="32"/>
        </w:rPr>
      </w:pPr>
      <w:r>
        <w:rPr>
          <w:rFonts w:eastAsia="仿宋_GB2312"/>
          <w:kern w:val="0"/>
          <w:sz w:val="32"/>
          <w:szCs w:val="32"/>
        </w:rPr>
        <w:t>政府性基金预算支出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部门</w:t>
      </w:r>
      <w:r>
        <w:rPr>
          <w:rFonts w:hint="eastAsia" w:eastAsia="仿宋_GB2312"/>
          <w:kern w:val="0"/>
          <w:sz w:val="32"/>
          <w:szCs w:val="32"/>
        </w:rPr>
        <w:t>经济科目）</w:t>
      </w:r>
    </w:p>
    <w:p>
      <w:pPr>
        <w:widowControl/>
        <w:numPr>
          <w:ilvl w:val="0"/>
          <w:numId w:val="2"/>
        </w:numPr>
        <w:spacing w:line="360" w:lineRule="auto"/>
        <w:rPr>
          <w:rFonts w:ascii="仿宋_GB2312" w:eastAsia="仿宋_GB2312"/>
          <w:bCs/>
          <w:sz w:val="32"/>
          <w:szCs w:val="32"/>
        </w:rPr>
      </w:pPr>
      <w:r>
        <w:rPr>
          <w:rFonts w:hint="eastAsia" w:ascii="仿宋_GB2312" w:eastAsia="仿宋_GB2312"/>
          <w:bCs/>
          <w:sz w:val="32"/>
          <w:szCs w:val="32"/>
        </w:rPr>
        <w:t>政府性基金预算支出情况表（政府经济科目）</w:t>
      </w:r>
    </w:p>
    <w:p>
      <w:pPr>
        <w:widowControl/>
        <w:numPr>
          <w:ilvl w:val="0"/>
          <w:numId w:val="2"/>
        </w:numPr>
        <w:spacing w:line="360" w:lineRule="auto"/>
        <w:rPr>
          <w:rFonts w:ascii="黑体" w:hAnsi="黑体" w:eastAsia="黑体"/>
          <w:bCs/>
          <w:sz w:val="32"/>
          <w:szCs w:val="32"/>
        </w:rPr>
      </w:pPr>
      <w:r>
        <w:rPr>
          <w:rFonts w:hint="eastAsia" w:ascii="仿宋_GB2312" w:eastAsia="仿宋_GB2312"/>
          <w:bCs/>
          <w:sz w:val="32"/>
          <w:szCs w:val="32"/>
        </w:rPr>
        <w:t>一般公共预算“三公”经费支出情况表。</w:t>
      </w:r>
    </w:p>
    <w:p>
      <w:pPr>
        <w:widowControl/>
        <w:spacing w:line="360" w:lineRule="auto"/>
        <w:jc w:val="center"/>
        <w:rPr>
          <w:rFonts w:ascii="黑体" w:hAnsi="黑体" w:eastAsia="黑体"/>
          <w:bCs/>
          <w:sz w:val="32"/>
          <w:szCs w:val="32"/>
        </w:rPr>
      </w:pPr>
      <w:r>
        <w:rPr>
          <w:rFonts w:hint="eastAsia" w:ascii="黑体" w:hAnsi="黑体" w:eastAsia="黑体"/>
          <w:bCs/>
          <w:sz w:val="32"/>
          <w:szCs w:val="32"/>
        </w:rPr>
        <w:t>第三部分    岭东区民政局2019</w:t>
      </w:r>
      <w:r>
        <w:rPr>
          <w:rFonts w:ascii="黑体" w:hAnsi="黑体" w:eastAsia="黑体"/>
          <w:bCs/>
          <w:sz w:val="32"/>
          <w:szCs w:val="32"/>
        </w:rPr>
        <w:t>年</w:t>
      </w:r>
    </w:p>
    <w:p>
      <w:pPr>
        <w:widowControl/>
        <w:spacing w:line="360" w:lineRule="auto"/>
        <w:jc w:val="center"/>
        <w:rPr>
          <w:rFonts w:ascii="黑体" w:hAnsi="黑体" w:eastAsia="黑体"/>
          <w:bCs/>
          <w:sz w:val="32"/>
          <w:szCs w:val="32"/>
        </w:rPr>
      </w:pPr>
      <w:r>
        <w:rPr>
          <w:rFonts w:ascii="黑体" w:hAnsi="黑体" w:eastAsia="黑体"/>
          <w:bCs/>
          <w:sz w:val="32"/>
          <w:szCs w:val="32"/>
        </w:rPr>
        <w:t>部门预算情况说明</w:t>
      </w:r>
    </w:p>
    <w:p>
      <w:pPr>
        <w:spacing w:line="360" w:lineRule="auto"/>
        <w:ind w:firstLine="640" w:firstLineChars="200"/>
        <w:rPr>
          <w:rFonts w:eastAsia="仿宋_GB2312"/>
          <w:kern w:val="0"/>
          <w:sz w:val="32"/>
          <w:szCs w:val="32"/>
          <w:lang w:val="zh-CN"/>
        </w:rPr>
      </w:pPr>
    </w:p>
    <w:p>
      <w:pPr>
        <w:spacing w:line="360" w:lineRule="auto"/>
        <w:ind w:firstLine="640" w:firstLineChars="200"/>
        <w:rPr>
          <w:rFonts w:ascii="黑体" w:hAnsi="黑体" w:eastAsia="黑体"/>
          <w:kern w:val="0"/>
          <w:sz w:val="32"/>
          <w:szCs w:val="32"/>
        </w:rPr>
      </w:pPr>
      <w:r>
        <w:rPr>
          <w:rFonts w:hint="eastAsia" w:ascii="黑体" w:hAnsi="黑体" w:eastAsia="黑体"/>
          <w:color w:val="2B2B2B"/>
          <w:kern w:val="0"/>
          <w:sz w:val="32"/>
          <w:szCs w:val="32"/>
        </w:rPr>
        <w:t>一、</w:t>
      </w:r>
      <w:r>
        <w:rPr>
          <w:rFonts w:ascii="黑体" w:hAnsi="黑体" w:eastAsia="黑体"/>
          <w:color w:val="2B2B2B"/>
          <w:kern w:val="0"/>
          <w:sz w:val="32"/>
          <w:szCs w:val="32"/>
        </w:rPr>
        <w:t>关于</w:t>
      </w:r>
      <w:r>
        <w:rPr>
          <w:rFonts w:hint="eastAsia" w:ascii="黑体" w:hAnsi="黑体" w:eastAsia="黑体"/>
          <w:kern w:val="0"/>
          <w:sz w:val="32"/>
          <w:szCs w:val="32"/>
        </w:rPr>
        <w:t>部门收支总体情况表</w:t>
      </w:r>
      <w:r>
        <w:rPr>
          <w:rFonts w:ascii="黑体" w:hAnsi="黑体" w:eastAsia="黑体"/>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收支总预算174万元，比上年预算数增加19万元。收入包括：一般公共预算收入174万元、政府性基金收入0万元、国有资本经营收入0万元、财政专户资金收入0万元、事业收入0万元、事业单位经营收入0万元、其它收入0万元；支出包括：一般公共服务支出0万元、社会保障和就业支出163万元、住房保障支出11万元教育支出0万元。</w:t>
      </w:r>
      <w:r>
        <w:rPr>
          <w:rFonts w:hint="eastAsia" w:eastAsia="仿宋_GB2312"/>
          <w:kern w:val="0"/>
          <w:sz w:val="32"/>
          <w:szCs w:val="32"/>
          <w:lang w:val="zh-CN"/>
        </w:rPr>
        <w:t>按照综合预算的原则，岭东区民政局</w:t>
      </w:r>
      <w:r>
        <w:rPr>
          <w:rFonts w:hint="eastAsia" w:ascii="仿宋_GB2312" w:hAnsi="黑体" w:eastAsia="仿宋_GB2312"/>
          <w:bCs/>
          <w:sz w:val="32"/>
          <w:szCs w:val="32"/>
        </w:rPr>
        <w:t>所有收入和支出均纳入部门预算管理。</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二、</w:t>
      </w:r>
      <w:r>
        <w:rPr>
          <w:rFonts w:ascii="黑体" w:hAnsi="黑体" w:eastAsia="黑体"/>
          <w:color w:val="2B2B2B"/>
          <w:kern w:val="0"/>
          <w:sz w:val="32"/>
          <w:szCs w:val="32"/>
        </w:rPr>
        <w:t>关于</w:t>
      </w:r>
      <w:r>
        <w:rPr>
          <w:rFonts w:hint="eastAsia" w:ascii="黑体" w:hAnsi="黑体" w:eastAsia="黑体"/>
          <w:color w:val="2B2B2B"/>
          <w:kern w:val="0"/>
          <w:sz w:val="32"/>
          <w:szCs w:val="32"/>
        </w:rPr>
        <w:t>部门收入总体情况表</w:t>
      </w:r>
      <w:r>
        <w:rPr>
          <w:rFonts w:ascii="黑体" w:hAnsi="黑体" w:eastAsia="黑体"/>
          <w:color w:val="2B2B2B"/>
          <w:kern w:val="0"/>
          <w:sz w:val="32"/>
          <w:szCs w:val="32"/>
        </w:rPr>
        <w:t>的说明</w:t>
      </w:r>
    </w:p>
    <w:p>
      <w:pPr>
        <w:spacing w:line="360" w:lineRule="auto"/>
        <w:ind w:firstLine="640" w:firstLineChars="200"/>
        <w:rPr>
          <w:rFonts w:eastAsia="仿宋_GB2312"/>
          <w:kern w:val="0"/>
          <w:sz w:val="32"/>
          <w:szCs w:val="32"/>
        </w:rPr>
      </w:pPr>
      <w:r>
        <w:rPr>
          <w:rFonts w:hint="eastAsia" w:ascii="仿宋_GB2312" w:hAnsi="黑体" w:eastAsia="仿宋_GB2312"/>
          <w:bCs/>
          <w:sz w:val="32"/>
          <w:szCs w:val="32"/>
        </w:rPr>
        <w:t>岭东区民政局2019年收入预算174万元，其中：一般公共预算收入174万元，占100%；政府性基金收入0万元，占0%；国有资本经营收入0万元，占0%；财政专户资金收入0万元，占0%；事业收入0万元，占0%；事业单位经营收入0万元，占0%；其它收入0万元，占0%。</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三、</w:t>
      </w:r>
      <w:r>
        <w:rPr>
          <w:rFonts w:ascii="黑体" w:hAnsi="黑体" w:eastAsia="黑体"/>
          <w:color w:val="2B2B2B"/>
          <w:kern w:val="0"/>
          <w:sz w:val="32"/>
          <w:szCs w:val="32"/>
        </w:rPr>
        <w:t>关于</w:t>
      </w:r>
      <w:r>
        <w:rPr>
          <w:rFonts w:hint="eastAsia" w:ascii="黑体" w:hAnsi="黑体" w:eastAsia="黑体"/>
          <w:color w:val="2B2B2B"/>
          <w:kern w:val="0"/>
          <w:sz w:val="32"/>
          <w:szCs w:val="32"/>
        </w:rPr>
        <w:t>部门支出总体情况表</w:t>
      </w:r>
      <w:r>
        <w:rPr>
          <w:rFonts w:ascii="黑体" w:hAnsi="黑体" w:eastAsia="黑体"/>
          <w:color w:val="2B2B2B"/>
          <w:kern w:val="0"/>
          <w:sz w:val="32"/>
          <w:szCs w:val="32"/>
        </w:rPr>
        <w:t>的说明</w:t>
      </w:r>
    </w:p>
    <w:p>
      <w:pPr>
        <w:spacing w:line="360" w:lineRule="auto"/>
        <w:ind w:firstLine="640" w:firstLineChars="200"/>
        <w:rPr>
          <w:rFonts w:eastAsia="仿宋_GB2312"/>
          <w:kern w:val="0"/>
          <w:sz w:val="32"/>
          <w:szCs w:val="32"/>
        </w:rPr>
      </w:pPr>
      <w:r>
        <w:rPr>
          <w:rFonts w:hint="eastAsia" w:ascii="仿宋_GB2312" w:hAnsi="黑体" w:eastAsia="仿宋_GB2312"/>
          <w:bCs/>
          <w:sz w:val="32"/>
          <w:szCs w:val="32"/>
        </w:rPr>
        <w:t>岭东区民政局2019年支出预算174万元，其中：基本支出174万元，占100%；项目支出0万元，占0%；上缴上级支出0万元，占0%；事业单位经营支出0万元，占0%；对附属单位补助支出0万元，占0%。</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四、</w:t>
      </w:r>
      <w:r>
        <w:rPr>
          <w:rFonts w:ascii="黑体" w:hAnsi="黑体" w:eastAsia="黑体"/>
          <w:color w:val="2B2B2B"/>
          <w:kern w:val="0"/>
          <w:sz w:val="32"/>
          <w:szCs w:val="32"/>
        </w:rPr>
        <w:t>关于</w:t>
      </w:r>
      <w:r>
        <w:rPr>
          <w:rFonts w:hint="eastAsia" w:ascii="黑体" w:hAnsi="黑体" w:eastAsia="黑体"/>
          <w:color w:val="2B2B2B"/>
          <w:kern w:val="0"/>
          <w:sz w:val="32"/>
          <w:szCs w:val="32"/>
        </w:rPr>
        <w:t>财政拨款收支总体情况表</w:t>
      </w:r>
      <w:r>
        <w:rPr>
          <w:rFonts w:ascii="黑体" w:hAnsi="黑体" w:eastAsia="黑体"/>
          <w:color w:val="2B2B2B"/>
          <w:kern w:val="0"/>
          <w:sz w:val="32"/>
          <w:szCs w:val="32"/>
        </w:rPr>
        <w:t>的说明</w:t>
      </w:r>
    </w:p>
    <w:p>
      <w:pPr>
        <w:spacing w:line="360" w:lineRule="auto"/>
        <w:ind w:firstLine="640" w:firstLineChars="200"/>
        <w:rPr>
          <w:rFonts w:eastAsia="仿宋_GB2312"/>
          <w:kern w:val="0"/>
          <w:sz w:val="32"/>
          <w:szCs w:val="32"/>
        </w:rPr>
      </w:pPr>
      <w:r>
        <w:rPr>
          <w:rFonts w:hint="eastAsia" w:ascii="仿宋_GB2312" w:hAnsi="黑体" w:eastAsia="仿宋_GB2312"/>
          <w:bCs/>
          <w:sz w:val="32"/>
          <w:szCs w:val="32"/>
        </w:rPr>
        <w:t>岭东区民政局2019年财政拨款收支总预算174万元。收入包括：一般公共预算收入174万元，政府性基金收入0万元，国有资本经营收入0万元。支出包括：社会保障和就业支出163万元，住房保障支出11万元。</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五、</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一般公共预算支出情况表（功能科目）</w:t>
      </w:r>
      <w:r>
        <w:rPr>
          <w:rFonts w:ascii="黑体" w:hAnsi="黑体" w:eastAsia="黑体"/>
          <w:color w:val="2B2B2B"/>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岭东区民政局2019年一般公共预算支出174万元，比上年预算数增加19万元.其中：</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1、2080201社会保障和就业民政管理事务支出2019年预算数为67万元，与上年预算数持平，增长0%。</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2、2080505机关事业单位基本养老保险缴费支出2019年预算数为13万元，比上年预算数增加13万元，增长100%。原因为今年新增。</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3、2081005社会福利事业单位支出2019年预算数为83万元，与上年预算数持平，增长0%。</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4、2210201住房公积金支出2019年预算数为11万元，比上年预算数增加6万元，增长120%。原因为人员工资增加。</w:t>
      </w:r>
    </w:p>
    <w:p>
      <w:pPr>
        <w:spacing w:line="360" w:lineRule="auto"/>
        <w:ind w:firstLine="640" w:firstLineChars="200"/>
        <w:rPr>
          <w:rFonts w:ascii="黑体" w:hAnsi="黑体" w:eastAsia="黑体"/>
          <w:color w:val="2B2B2B"/>
          <w:kern w:val="0"/>
          <w:sz w:val="32"/>
          <w:szCs w:val="32"/>
        </w:rPr>
      </w:pPr>
      <w:r>
        <w:rPr>
          <w:rFonts w:ascii="黑体" w:hAnsi="黑体" w:eastAsia="黑体"/>
          <w:color w:val="2B2B2B"/>
          <w:kern w:val="0"/>
          <w:sz w:val="32"/>
          <w:szCs w:val="32"/>
        </w:rPr>
        <w:t>六</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一般公共预算基本支出情况表（部门经济科目）</w:t>
      </w:r>
      <w:r>
        <w:rPr>
          <w:rFonts w:ascii="黑体" w:hAnsi="黑体" w:eastAsia="黑体"/>
          <w:color w:val="2B2B2B"/>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岭东区民政局2019年一般公共预算基本支出174万元，其中：</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1、工资福利支出135万元，主要包括：基本工资49万元、津贴补贴47万元、年终一次性奖金9万元、基本养老保险13万元、其他社会保障缴费6万元、住房公积金11万元。</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2、按定额管理的商品服务支出10万元，主要包括：办公费10万元。</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3、对个人和家庭补助支出29万元，主要包括：生活补助29万元。</w:t>
      </w:r>
    </w:p>
    <w:p>
      <w:pPr>
        <w:spacing w:line="360" w:lineRule="auto"/>
        <w:ind w:firstLine="640" w:firstLineChars="200"/>
        <w:rPr>
          <w:rFonts w:ascii="黑体" w:hAnsi="黑体" w:eastAsia="黑体"/>
          <w:color w:val="2B2B2B"/>
          <w:kern w:val="0"/>
          <w:sz w:val="32"/>
          <w:szCs w:val="32"/>
        </w:rPr>
      </w:pPr>
      <w:r>
        <w:rPr>
          <w:rFonts w:ascii="黑体" w:hAnsi="黑体" w:eastAsia="黑体"/>
          <w:color w:val="2B2B2B"/>
          <w:kern w:val="0"/>
          <w:sz w:val="32"/>
          <w:szCs w:val="32"/>
        </w:rPr>
        <w:t>七</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一般公共预算支出情况表（政府经济科目）</w:t>
      </w:r>
      <w:r>
        <w:rPr>
          <w:rFonts w:ascii="黑体" w:hAnsi="黑体" w:eastAsia="黑体"/>
          <w:color w:val="2B2B2B"/>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岭东区民政局2019年一般公共预算支出174万元，其中：</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1、机关工资福利支出74.3万元，主要包括：工资奖金津补贴57万元、社会保障缴费9.8万元、住房公积金7.5万元；</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2、机关商品服务支出10万元，主要包括：办公经费10万元。</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3、对事业单位经常性补助60.7万元，主要包括：工资福利支出60.7万元。</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4、对个人和家庭的补助29万元，主要包括：</w:t>
      </w:r>
      <w:r>
        <w:rPr>
          <w:rFonts w:hint="eastAsia" w:eastAsia="仿宋_GB2312"/>
          <w:sz w:val="32"/>
          <w:szCs w:val="32"/>
        </w:rPr>
        <w:t>其他对个人和家庭的补助29万元</w:t>
      </w:r>
      <w:r>
        <w:rPr>
          <w:rFonts w:hint="eastAsia" w:ascii="仿宋_GB2312" w:hAnsi="黑体" w:eastAsia="仿宋_GB2312"/>
          <w:bCs/>
          <w:sz w:val="32"/>
          <w:szCs w:val="32"/>
        </w:rPr>
        <w:t>。</w:t>
      </w:r>
    </w:p>
    <w:p>
      <w:pPr>
        <w:spacing w:line="360" w:lineRule="auto"/>
        <w:ind w:firstLine="640" w:firstLineChars="200"/>
        <w:rPr>
          <w:rFonts w:ascii="黑体" w:hAnsi="黑体" w:eastAsia="黑体"/>
          <w:color w:val="2B2B2B"/>
          <w:kern w:val="0"/>
          <w:sz w:val="32"/>
          <w:szCs w:val="32"/>
        </w:rPr>
      </w:pPr>
      <w:r>
        <w:rPr>
          <w:rFonts w:ascii="黑体" w:hAnsi="黑体" w:eastAsia="黑体"/>
          <w:color w:val="2B2B2B"/>
          <w:kern w:val="0"/>
          <w:sz w:val="32"/>
          <w:szCs w:val="32"/>
        </w:rPr>
        <w:t>八</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政府性基金预算支出情况表（功能科目）</w:t>
      </w:r>
      <w:r>
        <w:rPr>
          <w:rFonts w:ascii="黑体" w:hAnsi="黑体" w:eastAsia="黑体"/>
          <w:color w:val="2B2B2B"/>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岭东区民政局2019年无政府性基金支出，与上年一致。</w:t>
      </w:r>
    </w:p>
    <w:p>
      <w:pPr>
        <w:spacing w:line="360" w:lineRule="auto"/>
        <w:ind w:firstLine="640" w:firstLineChars="200"/>
        <w:rPr>
          <w:rFonts w:ascii="黑体" w:hAnsi="黑体" w:eastAsia="黑体"/>
          <w:color w:val="2B2B2B"/>
          <w:kern w:val="0"/>
          <w:sz w:val="32"/>
          <w:szCs w:val="32"/>
        </w:rPr>
      </w:pPr>
      <w:r>
        <w:rPr>
          <w:rFonts w:ascii="黑体" w:hAnsi="黑体" w:eastAsia="黑体"/>
          <w:color w:val="2B2B2B"/>
          <w:kern w:val="0"/>
          <w:sz w:val="32"/>
          <w:szCs w:val="32"/>
        </w:rPr>
        <w:t>九</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政府性基金预算支出情况表（部门经济科目）</w:t>
      </w:r>
      <w:r>
        <w:rPr>
          <w:rFonts w:ascii="黑体" w:hAnsi="黑体" w:eastAsia="黑体"/>
          <w:color w:val="2B2B2B"/>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岭东区民政局2019年无政府性基金支出，与上年一致。</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十、</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政府性基金预算支出情况表（政府经济科目）</w:t>
      </w:r>
      <w:r>
        <w:rPr>
          <w:rFonts w:ascii="黑体" w:hAnsi="黑体" w:eastAsia="黑体"/>
          <w:color w:val="2B2B2B"/>
          <w:kern w:val="0"/>
          <w:sz w:val="32"/>
          <w:szCs w:val="32"/>
        </w:rPr>
        <w:t>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岭东区民政局2019年无政府性基金支出，与上年一致。</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 xml:space="preserve">   </w:t>
      </w:r>
    </w:p>
    <w:p>
      <w:pPr>
        <w:spacing w:line="360" w:lineRule="auto"/>
        <w:ind w:firstLine="640" w:firstLineChars="200"/>
        <w:rPr>
          <w:rFonts w:ascii="黑体" w:hAnsi="黑体" w:eastAsia="黑体"/>
          <w:color w:val="2B2B2B"/>
          <w:kern w:val="0"/>
          <w:sz w:val="32"/>
          <w:szCs w:val="32"/>
        </w:rPr>
      </w:pPr>
      <w:r>
        <w:rPr>
          <w:rFonts w:ascii="黑体" w:hAnsi="黑体" w:eastAsia="黑体"/>
          <w:color w:val="2B2B2B"/>
          <w:kern w:val="0"/>
          <w:sz w:val="32"/>
          <w:szCs w:val="32"/>
        </w:rPr>
        <w:t>十</w:t>
      </w:r>
      <w:r>
        <w:rPr>
          <w:rFonts w:hint="eastAsia" w:ascii="黑体" w:hAnsi="黑体" w:eastAsia="黑体"/>
          <w:color w:val="2B2B2B"/>
          <w:kern w:val="0"/>
          <w:sz w:val="32"/>
          <w:szCs w:val="32"/>
        </w:rPr>
        <w:t>一、</w:t>
      </w:r>
      <w:r>
        <w:rPr>
          <w:rFonts w:ascii="黑体" w:hAnsi="黑体" w:eastAsia="黑体"/>
          <w:color w:val="2B2B2B"/>
          <w:kern w:val="0"/>
          <w:sz w:val="32"/>
          <w:szCs w:val="32"/>
        </w:rPr>
        <w:t>关于一般公共预算“三公”经费支出表的说明</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岭东区民政局2019年“三公”经费预算数为0</w:t>
      </w:r>
      <w:r>
        <w:rPr>
          <w:rFonts w:hint="eastAsia" w:ascii="仿宋_GB2312" w:hAnsi="黑体" w:eastAsia="仿宋_GB2312"/>
          <w:bCs/>
          <w:sz w:val="32"/>
          <w:szCs w:val="32"/>
          <w:lang w:val="zh-CN"/>
        </w:rPr>
        <w:t>万元，其中：因公出国（境）费</w:t>
      </w:r>
      <w:r>
        <w:rPr>
          <w:rFonts w:hint="eastAsia" w:ascii="仿宋_GB2312" w:hAnsi="黑体" w:eastAsia="仿宋_GB2312"/>
          <w:bCs/>
          <w:sz w:val="32"/>
          <w:szCs w:val="32"/>
        </w:rPr>
        <w:t>0</w:t>
      </w:r>
      <w:r>
        <w:rPr>
          <w:rFonts w:hint="eastAsia" w:ascii="仿宋_GB2312" w:hAnsi="黑体" w:eastAsia="仿宋_GB2312"/>
          <w:bCs/>
          <w:sz w:val="32"/>
          <w:szCs w:val="32"/>
          <w:lang w:val="zh-CN"/>
        </w:rPr>
        <w:t>万元，公务用车购置费</w:t>
      </w:r>
      <w:r>
        <w:rPr>
          <w:rFonts w:hint="eastAsia" w:ascii="仿宋_GB2312" w:hAnsi="黑体" w:eastAsia="仿宋_GB2312"/>
          <w:bCs/>
          <w:sz w:val="32"/>
          <w:szCs w:val="32"/>
        </w:rPr>
        <w:t>0</w:t>
      </w:r>
      <w:r>
        <w:rPr>
          <w:rFonts w:hint="eastAsia" w:ascii="仿宋_GB2312" w:hAnsi="黑体" w:eastAsia="仿宋_GB2312"/>
          <w:bCs/>
          <w:sz w:val="32"/>
          <w:szCs w:val="32"/>
          <w:lang w:val="zh-CN"/>
        </w:rPr>
        <w:t>万元，公务用车运行费</w:t>
      </w:r>
      <w:r>
        <w:rPr>
          <w:rFonts w:hint="eastAsia" w:ascii="仿宋_GB2312" w:hAnsi="黑体" w:eastAsia="仿宋_GB2312"/>
          <w:bCs/>
          <w:sz w:val="32"/>
          <w:szCs w:val="32"/>
        </w:rPr>
        <w:t>0</w:t>
      </w:r>
      <w:r>
        <w:rPr>
          <w:rFonts w:hint="eastAsia" w:ascii="仿宋_GB2312" w:hAnsi="黑体" w:eastAsia="仿宋_GB2312"/>
          <w:bCs/>
          <w:sz w:val="32"/>
          <w:szCs w:val="32"/>
          <w:lang w:val="zh-CN"/>
        </w:rPr>
        <w:t>万元，公务接待费</w:t>
      </w:r>
      <w:r>
        <w:rPr>
          <w:rFonts w:hint="eastAsia" w:ascii="仿宋_GB2312" w:hAnsi="黑体" w:eastAsia="仿宋_GB2312"/>
          <w:bCs/>
          <w:sz w:val="32"/>
          <w:szCs w:val="32"/>
        </w:rPr>
        <w:t>0</w:t>
      </w:r>
      <w:r>
        <w:rPr>
          <w:rFonts w:hint="eastAsia" w:ascii="仿宋_GB2312" w:hAnsi="黑体" w:eastAsia="仿宋_GB2312"/>
          <w:bCs/>
          <w:sz w:val="32"/>
          <w:szCs w:val="32"/>
          <w:lang w:val="zh-CN"/>
        </w:rPr>
        <w:t>万元，</w:t>
      </w:r>
      <w:r>
        <w:rPr>
          <w:rFonts w:hint="eastAsia" w:ascii="仿宋_GB2312" w:hAnsi="黑体" w:eastAsia="仿宋_GB2312"/>
          <w:bCs/>
          <w:sz w:val="32"/>
          <w:szCs w:val="32"/>
        </w:rPr>
        <w:t>比上年预算数减少1.5万元，主要原因是：取消公务用车费用。</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二</w:t>
      </w:r>
      <w:r>
        <w:rPr>
          <w:rFonts w:hint="eastAsia" w:ascii="黑体" w:hAnsi="黑体" w:eastAsia="黑体"/>
          <w:color w:val="2B2B2B"/>
          <w:kern w:val="0"/>
          <w:sz w:val="32"/>
          <w:szCs w:val="32"/>
        </w:rPr>
        <w:t>、</w:t>
      </w:r>
      <w:r>
        <w:rPr>
          <w:rFonts w:ascii="黑体" w:hAnsi="黑体" w:eastAsia="黑体"/>
          <w:color w:val="2B2B2B"/>
          <w:kern w:val="0"/>
          <w:sz w:val="32"/>
          <w:szCs w:val="32"/>
        </w:rPr>
        <w:t>机关运行经费安排情况</w:t>
      </w:r>
      <w:r>
        <w:rPr>
          <w:rFonts w:hint="eastAsia" w:ascii="黑体" w:hAnsi="黑体" w:eastAsia="黑体"/>
          <w:color w:val="2B2B2B"/>
          <w:kern w:val="0"/>
          <w:sz w:val="32"/>
          <w:szCs w:val="32"/>
        </w:rPr>
        <w:t>说明</w:t>
      </w:r>
    </w:p>
    <w:p>
      <w:pPr>
        <w:autoSpaceDE w:val="0"/>
        <w:autoSpaceDN w:val="0"/>
        <w:spacing w:line="360" w:lineRule="auto"/>
        <w:ind w:firstLine="640" w:firstLineChars="200"/>
        <w:rPr>
          <w:rFonts w:eastAsia="仿宋_GB2312"/>
          <w:kern w:val="0"/>
          <w:sz w:val="32"/>
          <w:szCs w:val="32"/>
          <w:lang w:val="zh-CN"/>
        </w:rPr>
      </w:pPr>
      <w:r>
        <w:rPr>
          <w:rFonts w:hint="eastAsia" w:eastAsia="仿宋_GB2312"/>
          <w:bCs/>
          <w:sz w:val="32"/>
          <w:szCs w:val="32"/>
        </w:rPr>
        <w:t>2019</w:t>
      </w:r>
      <w:r>
        <w:rPr>
          <w:rFonts w:eastAsia="仿宋_GB2312"/>
          <w:kern w:val="0"/>
          <w:sz w:val="32"/>
          <w:szCs w:val="32"/>
          <w:lang w:val="zh-CN"/>
        </w:rPr>
        <w:t>年本部门机关运行经费预算安排</w:t>
      </w:r>
      <w:r>
        <w:rPr>
          <w:rFonts w:hint="eastAsia" w:eastAsia="仿宋_GB2312"/>
          <w:kern w:val="0"/>
          <w:sz w:val="32"/>
          <w:szCs w:val="32"/>
        </w:rPr>
        <w:t>10</w:t>
      </w:r>
      <w:r>
        <w:rPr>
          <w:rFonts w:eastAsia="仿宋_GB2312"/>
          <w:kern w:val="0"/>
          <w:sz w:val="32"/>
          <w:szCs w:val="32"/>
          <w:lang w:val="zh-CN"/>
        </w:rPr>
        <w:t>万元，</w:t>
      </w:r>
      <w:r>
        <w:rPr>
          <w:rFonts w:hint="eastAsia" w:eastAsia="仿宋_GB2312"/>
          <w:kern w:val="0"/>
          <w:sz w:val="32"/>
          <w:szCs w:val="32"/>
          <w:lang w:val="zh-CN"/>
        </w:rPr>
        <w:t>其中：</w:t>
      </w:r>
      <w:r>
        <w:rPr>
          <w:rFonts w:eastAsia="仿宋_GB2312"/>
          <w:sz w:val="32"/>
          <w:szCs w:val="32"/>
        </w:rPr>
        <w:t>办公费</w:t>
      </w:r>
      <w:r>
        <w:rPr>
          <w:rFonts w:hint="eastAsia" w:eastAsia="仿宋_GB2312"/>
          <w:sz w:val="32"/>
          <w:szCs w:val="32"/>
        </w:rPr>
        <w:t>10</w:t>
      </w:r>
      <w:r>
        <w:rPr>
          <w:rFonts w:eastAsia="仿宋_GB2312"/>
          <w:kern w:val="0"/>
          <w:sz w:val="32"/>
          <w:szCs w:val="32"/>
          <w:lang w:val="zh-CN"/>
        </w:rPr>
        <w:t>万元</w:t>
      </w:r>
      <w:r>
        <w:rPr>
          <w:rFonts w:eastAsia="仿宋_GB2312"/>
          <w:sz w:val="32"/>
          <w:szCs w:val="32"/>
        </w:rPr>
        <w:t>、印刷费</w:t>
      </w:r>
      <w:r>
        <w:rPr>
          <w:rFonts w:hint="eastAsia" w:eastAsia="仿宋_GB2312"/>
          <w:sz w:val="32"/>
          <w:szCs w:val="32"/>
        </w:rPr>
        <w:t>0</w:t>
      </w:r>
      <w:r>
        <w:rPr>
          <w:rFonts w:eastAsia="仿宋_GB2312"/>
          <w:kern w:val="0"/>
          <w:sz w:val="32"/>
          <w:szCs w:val="32"/>
          <w:lang w:val="zh-CN"/>
        </w:rPr>
        <w:t>万元</w:t>
      </w:r>
      <w:r>
        <w:rPr>
          <w:rFonts w:eastAsia="仿宋_GB2312"/>
          <w:sz w:val="32"/>
          <w:szCs w:val="32"/>
        </w:rPr>
        <w:t>、差旅费</w:t>
      </w:r>
      <w:r>
        <w:rPr>
          <w:rFonts w:hint="eastAsia" w:eastAsia="仿宋_GB2312"/>
          <w:sz w:val="32"/>
          <w:szCs w:val="32"/>
        </w:rPr>
        <w:t>0</w:t>
      </w:r>
      <w:r>
        <w:rPr>
          <w:rFonts w:eastAsia="仿宋_GB2312"/>
          <w:kern w:val="0"/>
          <w:sz w:val="32"/>
          <w:szCs w:val="32"/>
          <w:lang w:val="zh-CN"/>
        </w:rPr>
        <w:t>万元</w:t>
      </w:r>
      <w:r>
        <w:rPr>
          <w:rFonts w:eastAsia="仿宋_GB2312"/>
          <w:sz w:val="32"/>
          <w:szCs w:val="32"/>
        </w:rPr>
        <w:t>、会议费</w:t>
      </w:r>
      <w:r>
        <w:rPr>
          <w:rFonts w:hint="eastAsia" w:eastAsia="仿宋_GB2312"/>
          <w:sz w:val="32"/>
          <w:szCs w:val="32"/>
        </w:rPr>
        <w:t>0</w:t>
      </w:r>
      <w:r>
        <w:rPr>
          <w:rFonts w:eastAsia="仿宋_GB2312"/>
          <w:kern w:val="0"/>
          <w:sz w:val="32"/>
          <w:szCs w:val="32"/>
          <w:lang w:val="zh-CN"/>
        </w:rPr>
        <w:t>万元</w:t>
      </w:r>
      <w:r>
        <w:rPr>
          <w:rFonts w:eastAsia="仿宋_GB2312"/>
          <w:sz w:val="32"/>
          <w:szCs w:val="32"/>
        </w:rPr>
        <w:t>、福利费</w:t>
      </w:r>
      <w:r>
        <w:rPr>
          <w:rFonts w:hint="eastAsia" w:eastAsia="仿宋_GB2312"/>
          <w:sz w:val="32"/>
          <w:szCs w:val="32"/>
        </w:rPr>
        <w:t>0</w:t>
      </w:r>
      <w:r>
        <w:rPr>
          <w:rFonts w:eastAsia="仿宋_GB2312"/>
          <w:kern w:val="0"/>
          <w:sz w:val="32"/>
          <w:szCs w:val="32"/>
          <w:lang w:val="zh-CN"/>
        </w:rPr>
        <w:t>万元</w:t>
      </w:r>
      <w:r>
        <w:rPr>
          <w:rFonts w:eastAsia="仿宋_GB2312"/>
          <w:sz w:val="32"/>
          <w:szCs w:val="32"/>
        </w:rPr>
        <w:t>、日常维修费</w:t>
      </w:r>
      <w:r>
        <w:rPr>
          <w:rFonts w:hint="eastAsia" w:eastAsia="仿宋_GB2312"/>
          <w:sz w:val="32"/>
          <w:szCs w:val="32"/>
        </w:rPr>
        <w:t>0</w:t>
      </w:r>
      <w:r>
        <w:rPr>
          <w:rFonts w:eastAsia="仿宋_GB2312"/>
          <w:kern w:val="0"/>
          <w:sz w:val="32"/>
          <w:szCs w:val="32"/>
          <w:lang w:val="zh-CN"/>
        </w:rPr>
        <w:t>万元</w:t>
      </w:r>
      <w:r>
        <w:rPr>
          <w:rFonts w:eastAsia="仿宋_GB2312"/>
          <w:sz w:val="32"/>
          <w:szCs w:val="32"/>
        </w:rPr>
        <w:t>、专用材料及一般设备设置费</w:t>
      </w:r>
      <w:r>
        <w:rPr>
          <w:rFonts w:hint="eastAsia" w:eastAsia="仿宋_GB2312"/>
          <w:sz w:val="32"/>
          <w:szCs w:val="32"/>
        </w:rPr>
        <w:t>0</w:t>
      </w:r>
      <w:r>
        <w:rPr>
          <w:rFonts w:eastAsia="仿宋_GB2312"/>
          <w:kern w:val="0"/>
          <w:sz w:val="32"/>
          <w:szCs w:val="32"/>
          <w:lang w:val="zh-CN"/>
        </w:rPr>
        <w:t>万元</w:t>
      </w:r>
      <w:r>
        <w:rPr>
          <w:rFonts w:eastAsia="仿宋_GB2312"/>
          <w:sz w:val="32"/>
          <w:szCs w:val="32"/>
        </w:rPr>
        <w:t>、办公用房水电费</w:t>
      </w:r>
      <w:r>
        <w:rPr>
          <w:rFonts w:hint="eastAsia" w:eastAsia="仿宋_GB2312"/>
          <w:sz w:val="32"/>
          <w:szCs w:val="32"/>
        </w:rPr>
        <w:t>0</w:t>
      </w:r>
      <w:r>
        <w:rPr>
          <w:rFonts w:eastAsia="仿宋_GB2312"/>
          <w:kern w:val="0"/>
          <w:sz w:val="32"/>
          <w:szCs w:val="32"/>
          <w:lang w:val="zh-CN"/>
        </w:rPr>
        <w:t>万元</w:t>
      </w:r>
      <w:r>
        <w:rPr>
          <w:rFonts w:eastAsia="仿宋_GB2312"/>
          <w:sz w:val="32"/>
          <w:szCs w:val="32"/>
        </w:rPr>
        <w:t>、办公用房取暖费</w:t>
      </w:r>
      <w:r>
        <w:rPr>
          <w:rFonts w:hint="eastAsia" w:eastAsia="仿宋_GB2312"/>
          <w:sz w:val="32"/>
          <w:szCs w:val="32"/>
        </w:rPr>
        <w:t>0</w:t>
      </w:r>
      <w:r>
        <w:rPr>
          <w:rFonts w:eastAsia="仿宋_GB2312"/>
          <w:kern w:val="0"/>
          <w:sz w:val="32"/>
          <w:szCs w:val="32"/>
          <w:lang w:val="zh-CN"/>
        </w:rPr>
        <w:t>万元</w:t>
      </w:r>
      <w:r>
        <w:rPr>
          <w:rFonts w:eastAsia="仿宋_GB2312"/>
          <w:sz w:val="32"/>
          <w:szCs w:val="32"/>
        </w:rPr>
        <w:t>、办公用房物业管理费</w:t>
      </w:r>
      <w:r>
        <w:rPr>
          <w:rFonts w:hint="eastAsia" w:eastAsia="仿宋_GB2312"/>
          <w:sz w:val="32"/>
          <w:szCs w:val="32"/>
        </w:rPr>
        <w:t>0</w:t>
      </w:r>
      <w:r>
        <w:rPr>
          <w:rFonts w:eastAsia="仿宋_GB2312"/>
          <w:kern w:val="0"/>
          <w:sz w:val="32"/>
          <w:szCs w:val="32"/>
          <w:lang w:val="zh-CN"/>
        </w:rPr>
        <w:t>万元</w:t>
      </w:r>
      <w:r>
        <w:rPr>
          <w:rFonts w:eastAsia="仿宋_GB2312"/>
          <w:sz w:val="32"/>
          <w:szCs w:val="32"/>
        </w:rPr>
        <w:t>、公务用车运行维护费</w:t>
      </w:r>
      <w:r>
        <w:rPr>
          <w:rFonts w:hint="eastAsia" w:eastAsia="仿宋_GB2312"/>
          <w:sz w:val="32"/>
          <w:szCs w:val="32"/>
        </w:rPr>
        <w:t>0</w:t>
      </w:r>
      <w:r>
        <w:rPr>
          <w:rFonts w:eastAsia="仿宋_GB2312"/>
          <w:kern w:val="0"/>
          <w:sz w:val="32"/>
          <w:szCs w:val="32"/>
          <w:lang w:val="zh-CN"/>
        </w:rPr>
        <w:t>万元</w:t>
      </w:r>
      <w:r>
        <w:rPr>
          <w:rFonts w:eastAsia="仿宋_GB2312"/>
          <w:sz w:val="32"/>
          <w:szCs w:val="32"/>
        </w:rPr>
        <w:t>以及其他费用</w:t>
      </w:r>
      <w:r>
        <w:rPr>
          <w:rFonts w:hint="eastAsia" w:eastAsia="仿宋_GB2312"/>
          <w:sz w:val="32"/>
          <w:szCs w:val="32"/>
        </w:rPr>
        <w:t>0</w:t>
      </w:r>
      <w:r>
        <w:rPr>
          <w:rFonts w:eastAsia="仿宋_GB2312"/>
          <w:kern w:val="0"/>
          <w:sz w:val="32"/>
          <w:szCs w:val="32"/>
          <w:lang w:val="zh-CN"/>
        </w:rPr>
        <w:t>万元</w:t>
      </w:r>
      <w:r>
        <w:rPr>
          <w:rFonts w:eastAsia="仿宋_GB2312"/>
          <w:sz w:val="32"/>
          <w:szCs w:val="32"/>
        </w:rPr>
        <w:t>。</w:t>
      </w:r>
      <w:r>
        <w:rPr>
          <w:rFonts w:eastAsia="仿宋_GB2312"/>
          <w:kern w:val="0"/>
          <w:sz w:val="32"/>
          <w:szCs w:val="32"/>
          <w:lang w:val="zh-CN"/>
        </w:rPr>
        <w:t>比</w:t>
      </w:r>
      <w:r>
        <w:rPr>
          <w:rFonts w:hint="eastAsia" w:eastAsia="仿宋_GB2312"/>
          <w:bCs/>
          <w:sz w:val="32"/>
          <w:szCs w:val="32"/>
        </w:rPr>
        <w:t>上年</w:t>
      </w:r>
      <w:r>
        <w:rPr>
          <w:rFonts w:hint="eastAsia" w:ascii="仿宋_GB2312" w:hAnsi="黑体" w:eastAsia="仿宋_GB2312"/>
          <w:bCs/>
          <w:sz w:val="32"/>
          <w:szCs w:val="32"/>
        </w:rPr>
        <w:t>预算数</w:t>
      </w:r>
      <w:r>
        <w:rPr>
          <w:rFonts w:hint="eastAsia" w:eastAsia="仿宋_GB2312"/>
          <w:kern w:val="0"/>
          <w:sz w:val="32"/>
          <w:szCs w:val="32"/>
          <w:lang w:val="zh-CN"/>
        </w:rPr>
        <w:t>减少</w:t>
      </w:r>
      <w:r>
        <w:rPr>
          <w:rFonts w:hint="eastAsia" w:eastAsia="仿宋_GB2312"/>
          <w:kern w:val="0"/>
          <w:sz w:val="32"/>
          <w:szCs w:val="32"/>
        </w:rPr>
        <w:t>13</w:t>
      </w:r>
      <w:r>
        <w:rPr>
          <w:rFonts w:eastAsia="仿宋_GB2312"/>
          <w:kern w:val="0"/>
          <w:sz w:val="32"/>
          <w:szCs w:val="32"/>
          <w:lang w:val="zh-CN"/>
        </w:rPr>
        <w:t>万元，降低</w:t>
      </w:r>
      <w:r>
        <w:rPr>
          <w:rFonts w:hint="eastAsia" w:eastAsia="仿宋_GB2312"/>
          <w:kern w:val="0"/>
          <w:sz w:val="32"/>
          <w:szCs w:val="32"/>
        </w:rPr>
        <w:t>56.52</w:t>
      </w:r>
      <w:r>
        <w:rPr>
          <w:rFonts w:eastAsia="仿宋_GB2312"/>
          <w:kern w:val="0"/>
          <w:sz w:val="32"/>
          <w:szCs w:val="32"/>
          <w:lang w:val="zh-CN"/>
        </w:rPr>
        <w:t>%。主要原因是</w:t>
      </w:r>
      <w:r>
        <w:rPr>
          <w:rFonts w:hint="eastAsia" w:eastAsia="仿宋_GB2312"/>
          <w:kern w:val="0"/>
          <w:sz w:val="32"/>
          <w:szCs w:val="32"/>
          <w:lang w:val="zh-CN"/>
        </w:rPr>
        <w:t>：办公经费压缩</w:t>
      </w:r>
      <w:r>
        <w:rPr>
          <w:rFonts w:eastAsia="仿宋_GB2312"/>
          <w:kern w:val="0"/>
          <w:sz w:val="32"/>
          <w:szCs w:val="32"/>
          <w:lang w:val="zh-CN"/>
        </w:rPr>
        <w:t>。</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三</w:t>
      </w:r>
      <w:r>
        <w:rPr>
          <w:rFonts w:hint="eastAsia" w:ascii="黑体" w:hAnsi="黑体" w:eastAsia="黑体"/>
          <w:color w:val="2B2B2B"/>
          <w:kern w:val="0"/>
          <w:sz w:val="32"/>
          <w:szCs w:val="32"/>
        </w:rPr>
        <w:t>、</w:t>
      </w:r>
      <w:r>
        <w:rPr>
          <w:rFonts w:ascii="黑体" w:hAnsi="黑体" w:eastAsia="黑体"/>
          <w:color w:val="2B2B2B"/>
          <w:kern w:val="0"/>
          <w:sz w:val="32"/>
          <w:szCs w:val="32"/>
        </w:rPr>
        <w:t>关于政府采购</w:t>
      </w:r>
      <w:r>
        <w:rPr>
          <w:rFonts w:hint="eastAsia" w:ascii="黑体" w:hAnsi="黑体" w:eastAsia="黑体"/>
          <w:color w:val="2B2B2B"/>
          <w:kern w:val="0"/>
          <w:sz w:val="32"/>
          <w:szCs w:val="32"/>
        </w:rPr>
        <w:t>预算</w:t>
      </w:r>
      <w:r>
        <w:rPr>
          <w:rFonts w:ascii="黑体" w:hAnsi="黑体" w:eastAsia="黑体"/>
          <w:color w:val="2B2B2B"/>
          <w:kern w:val="0"/>
          <w:sz w:val="32"/>
          <w:szCs w:val="32"/>
        </w:rPr>
        <w:t>支出情况说明</w:t>
      </w:r>
    </w:p>
    <w:p>
      <w:pPr>
        <w:autoSpaceDE w:val="0"/>
        <w:autoSpaceDN w:val="0"/>
        <w:spacing w:line="360" w:lineRule="auto"/>
        <w:ind w:firstLine="640" w:firstLineChars="200"/>
        <w:rPr>
          <w:rFonts w:eastAsia="仿宋_GB2312"/>
          <w:kern w:val="0"/>
          <w:sz w:val="32"/>
          <w:szCs w:val="32"/>
          <w:lang w:val="zh-CN"/>
        </w:rPr>
      </w:pPr>
      <w:r>
        <w:rPr>
          <w:rFonts w:hint="eastAsia" w:ascii="仿宋_GB2312" w:hAnsi="黑体" w:eastAsia="仿宋_GB2312"/>
          <w:bCs/>
          <w:sz w:val="32"/>
          <w:szCs w:val="32"/>
        </w:rPr>
        <w:t>2019年岭东区民政局无采购预算</w:t>
      </w:r>
      <w:r>
        <w:rPr>
          <w:rFonts w:hint="eastAsia" w:eastAsia="仿宋_GB2312"/>
          <w:kern w:val="0"/>
          <w:sz w:val="32"/>
          <w:szCs w:val="32"/>
          <w:lang w:val="zh-CN"/>
        </w:rPr>
        <w:t>。</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四</w:t>
      </w:r>
      <w:r>
        <w:rPr>
          <w:rFonts w:hint="eastAsia" w:ascii="黑体" w:hAnsi="黑体" w:eastAsia="黑体"/>
          <w:color w:val="2B2B2B"/>
          <w:kern w:val="0"/>
          <w:sz w:val="32"/>
          <w:szCs w:val="32"/>
        </w:rPr>
        <w:t>、</w:t>
      </w:r>
      <w:r>
        <w:rPr>
          <w:rFonts w:ascii="黑体" w:hAnsi="黑体" w:eastAsia="黑体"/>
          <w:color w:val="2B2B2B"/>
          <w:kern w:val="0"/>
          <w:sz w:val="32"/>
          <w:szCs w:val="32"/>
        </w:rPr>
        <w:t>关于国有资产占有使用情况说明</w:t>
      </w:r>
    </w:p>
    <w:p>
      <w:pPr>
        <w:autoSpaceDE w:val="0"/>
        <w:autoSpaceDN w:val="0"/>
        <w:spacing w:line="360" w:lineRule="auto"/>
        <w:ind w:firstLine="640" w:firstLineChars="200"/>
        <w:rPr>
          <w:rFonts w:eastAsia="仿宋_GB2312"/>
          <w:kern w:val="0"/>
          <w:sz w:val="32"/>
          <w:szCs w:val="32"/>
          <w:lang w:val="zh-CN"/>
        </w:rPr>
      </w:pPr>
      <w:r>
        <w:rPr>
          <w:rFonts w:hint="eastAsia" w:ascii="仿宋_GB2312" w:hAnsi="黑体" w:eastAsia="仿宋_GB2312"/>
          <w:bCs/>
          <w:sz w:val="32"/>
          <w:szCs w:val="32"/>
        </w:rPr>
        <w:t>截止2018年12月，岭东区民政局共有房屋</w:t>
      </w:r>
      <w:r>
        <w:rPr>
          <w:rFonts w:hint="eastAsia" w:ascii="仿宋_GB2312" w:hAnsi="黑体" w:eastAsia="仿宋_GB2312"/>
          <w:bCs/>
          <w:sz w:val="32"/>
          <w:szCs w:val="32"/>
          <w:lang w:val="en-US" w:eastAsia="zh-CN"/>
        </w:rPr>
        <w:t>2700</w:t>
      </w:r>
      <w:r>
        <w:rPr>
          <w:rFonts w:hint="eastAsia" w:ascii="仿宋_GB2312" w:hAnsi="黑体" w:eastAsia="仿宋_GB2312"/>
          <w:bCs/>
          <w:sz w:val="32"/>
          <w:szCs w:val="32"/>
        </w:rPr>
        <w:t>平方米,其中：办公用房</w:t>
      </w:r>
      <w:r>
        <w:rPr>
          <w:rFonts w:hint="eastAsia" w:ascii="仿宋_GB2312" w:hAnsi="黑体" w:eastAsia="仿宋_GB2312"/>
          <w:bCs/>
          <w:sz w:val="32"/>
          <w:szCs w:val="32"/>
          <w:lang w:val="en-US" w:eastAsia="zh-CN"/>
        </w:rPr>
        <w:t>200</w:t>
      </w:r>
      <w:r>
        <w:rPr>
          <w:rFonts w:hint="eastAsia" w:ascii="仿宋_GB2312" w:hAnsi="黑体" w:eastAsia="仿宋_GB2312"/>
          <w:bCs/>
          <w:sz w:val="32"/>
          <w:szCs w:val="32"/>
        </w:rPr>
        <w:t>平方米，业务用房</w:t>
      </w:r>
      <w:r>
        <w:rPr>
          <w:rFonts w:hint="eastAsia" w:ascii="仿宋_GB2312" w:hAnsi="黑体" w:eastAsia="仿宋_GB2312"/>
          <w:bCs/>
          <w:sz w:val="32"/>
          <w:szCs w:val="32"/>
          <w:lang w:val="en-US" w:eastAsia="zh-CN"/>
        </w:rPr>
        <w:t>2500</w:t>
      </w:r>
      <w:r>
        <w:rPr>
          <w:rFonts w:hint="eastAsia" w:ascii="仿宋_GB2312" w:hAnsi="黑体" w:eastAsia="仿宋_GB2312"/>
          <w:bCs/>
          <w:sz w:val="32"/>
          <w:szCs w:val="32"/>
        </w:rPr>
        <w:t>平方米，其他用房0平方米。共有车辆0台，其中：一般公务用车0台，一般执法执勤用车0台，特种专业技术用车0台，其他车辆0台。共有单位价值50万元以上设备0台，其中：单位价值100万元以上设备0台。其他资产87个。</w:t>
      </w:r>
    </w:p>
    <w:p>
      <w:pPr>
        <w:spacing w:line="360" w:lineRule="auto"/>
        <w:ind w:firstLine="640" w:firstLineChars="200"/>
        <w:rPr>
          <w:rFonts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五</w:t>
      </w:r>
      <w:bookmarkStart w:id="1" w:name="_GoBack"/>
      <w:bookmarkEnd w:id="1"/>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行政事业性项目和专项资金绩效目标的</w:t>
      </w:r>
      <w:r>
        <w:rPr>
          <w:rFonts w:ascii="黑体" w:hAnsi="黑体" w:eastAsia="黑体"/>
          <w:color w:val="2B2B2B"/>
          <w:kern w:val="0"/>
          <w:sz w:val="32"/>
          <w:szCs w:val="32"/>
        </w:rPr>
        <w:t>说明</w:t>
      </w:r>
    </w:p>
    <w:p>
      <w:pPr>
        <w:pStyle w:val="10"/>
        <w:spacing w:line="360" w:lineRule="auto"/>
        <w:ind w:firstLine="640" w:firstLineChars="200"/>
        <w:jc w:val="both"/>
        <w:rPr>
          <w:rFonts w:ascii="仿宋_GB2312" w:hAnsi="黑体" w:eastAsia="仿宋_GB2312"/>
          <w:bCs/>
          <w:color w:val="auto"/>
          <w:kern w:val="2"/>
          <w:sz w:val="32"/>
          <w:szCs w:val="32"/>
        </w:rPr>
      </w:pPr>
      <w:r>
        <w:rPr>
          <w:rFonts w:hint="eastAsia" w:ascii="仿宋_GB2312" w:hAnsi="黑体" w:eastAsia="仿宋_GB2312"/>
          <w:bCs/>
          <w:color w:val="auto"/>
          <w:kern w:val="2"/>
          <w:sz w:val="32"/>
          <w:szCs w:val="32"/>
        </w:rPr>
        <w:t>2019年岭东区民政局无</w:t>
      </w:r>
      <w:r>
        <w:rPr>
          <w:rFonts w:ascii="仿宋_GB2312" w:hAnsi="黑体" w:eastAsia="仿宋_GB2312"/>
          <w:bCs/>
          <w:color w:val="auto"/>
          <w:kern w:val="2"/>
          <w:sz w:val="32"/>
          <w:szCs w:val="32"/>
        </w:rPr>
        <w:t>实行绩效目标管理的项目。</w:t>
      </w:r>
    </w:p>
    <w:p>
      <w:pPr>
        <w:autoSpaceDE w:val="0"/>
        <w:autoSpaceDN w:val="0"/>
        <w:spacing w:line="360" w:lineRule="auto"/>
        <w:ind w:firstLine="1680" w:firstLineChars="200"/>
        <w:rPr>
          <w:rFonts w:ascii="仿宋_GB2312" w:hAnsi="黑体" w:eastAsia="仿宋_GB2312"/>
          <w:bCs/>
          <w:sz w:val="84"/>
          <w:szCs w:val="84"/>
        </w:rPr>
      </w:pPr>
    </w:p>
    <w:p>
      <w:pPr>
        <w:widowControl/>
        <w:spacing w:line="360" w:lineRule="auto"/>
        <w:jc w:val="center"/>
        <w:rPr>
          <w:rFonts w:ascii="黑体" w:hAnsi="黑体" w:eastAsia="黑体"/>
          <w:bCs/>
          <w:sz w:val="32"/>
          <w:szCs w:val="32"/>
        </w:rPr>
      </w:pPr>
      <w:r>
        <w:rPr>
          <w:rFonts w:hint="eastAsia" w:ascii="黑体" w:hAnsi="黑体" w:eastAsia="黑体"/>
          <w:bCs/>
          <w:sz w:val="32"/>
          <w:szCs w:val="32"/>
        </w:rPr>
        <w:t>第四部分   名词解释</w:t>
      </w:r>
    </w:p>
    <w:p>
      <w:pPr>
        <w:pStyle w:val="8"/>
        <w:spacing w:line="360" w:lineRule="auto"/>
        <w:ind w:firstLine="640"/>
        <w:rPr>
          <w:rFonts w:ascii="仿宋_GB2312" w:eastAsia="仿宋_GB2312"/>
          <w:sz w:val="32"/>
          <w:szCs w:val="32"/>
        </w:rPr>
      </w:pPr>
      <w:r>
        <w:rPr>
          <w:rFonts w:hint="eastAsia" w:ascii="仿宋_GB2312" w:eastAsia="仿宋_GB2312"/>
          <w:sz w:val="32"/>
          <w:szCs w:val="32"/>
        </w:rPr>
        <w:t>主要对收入项目、支出项目、支出科目、预算绩效管理和绩效目标进行解释说明，收入和支出项目按公开当年部门预算编制手册中定义进行解释，科目名称按公开当年政府收支分类科目中定义进行解释。</w:t>
      </w:r>
    </w:p>
    <w:p>
      <w:pPr>
        <w:snapToGrid w:val="0"/>
        <w:spacing w:line="360" w:lineRule="auto"/>
        <w:ind w:firstLine="640" w:firstLineChars="200"/>
        <w:rPr>
          <w:rFonts w:ascii="仿宋_GB2312" w:hAnsi="Calibri" w:eastAsia="仿宋_GB2312"/>
          <w:sz w:val="32"/>
          <w:szCs w:val="32"/>
        </w:rPr>
      </w:pPr>
      <w:r>
        <w:rPr>
          <w:rFonts w:hint="eastAsia" w:ascii="仿宋_GB2312" w:eastAsia="仿宋_GB2312"/>
          <w:sz w:val="32"/>
          <w:szCs w:val="32"/>
        </w:rPr>
        <w:t>其中：</w:t>
      </w:r>
      <w:r>
        <w:rPr>
          <w:rFonts w:hint="eastAsia" w:ascii="仿宋_GB2312" w:hAnsi="Calibri" w:eastAsia="仿宋_GB2312"/>
          <w:sz w:val="32"/>
          <w:szCs w:val="32"/>
        </w:rPr>
        <w:t>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pPr>
        <w:snapToGrid w:val="0"/>
        <w:spacing w:line="360" w:lineRule="auto"/>
        <w:ind w:firstLine="640" w:firstLineChars="200"/>
        <w:rPr>
          <w:rFonts w:ascii="仿宋_GB2312" w:eastAsia="仿宋_GB2312"/>
          <w:color w:val="FF6600"/>
          <w:sz w:val="32"/>
          <w:szCs w:val="32"/>
        </w:rPr>
      </w:pPr>
      <w:r>
        <w:rPr>
          <w:rFonts w:hint="eastAsia" w:ascii="仿宋_GB2312" w:hAnsi="Calibri" w:eastAsia="仿宋_GB2312"/>
          <w:sz w:val="32"/>
          <w:szCs w:val="32"/>
        </w:rPr>
        <w:t>绩效目标：是预算绩效管理对象计划在一定期限内达到的产出和效果，包括产出指标、效益指标和服务对象满意度指标，是绩效执行监控、绩效自评价和再评价等预算绩效管理工作的前提和基础。</w:t>
      </w:r>
    </w:p>
    <w:p>
      <w:pPr>
        <w:pStyle w:val="8"/>
        <w:spacing w:line="360" w:lineRule="auto"/>
        <w:ind w:firstLine="640"/>
        <w:rPr>
          <w:rFonts w:ascii="仿宋_GB2312" w:hAnsi="Times New Roman" w:eastAsia="仿宋_GB2312"/>
          <w:sz w:val="32"/>
          <w:szCs w:val="32"/>
        </w:rPr>
      </w:pPr>
    </w:p>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4163446">
    <w:nsid w:val="63311E76"/>
    <w:multiLevelType w:val="multilevel"/>
    <w:tmpl w:val="63311E76"/>
    <w:lvl w:ilvl="0" w:tentative="1">
      <w:start w:val="7"/>
      <w:numFmt w:val="japaneseCounting"/>
      <w:lvlText w:val="%1、"/>
      <w:lvlJc w:val="left"/>
      <w:pPr>
        <w:tabs>
          <w:tab w:val="left" w:pos="1360"/>
        </w:tabs>
        <w:ind w:left="1360" w:hanging="720"/>
      </w:pPr>
      <w:rPr>
        <w:rFonts w:hint="default"/>
        <w:lang w:val="en-US"/>
      </w:rPr>
    </w:lvl>
    <w:lvl w:ilvl="1" w:tentative="1">
      <w:start w:val="1"/>
      <w:numFmt w:val="lowerLetter"/>
      <w:lvlText w:val="%2)"/>
      <w:lvlJc w:val="left"/>
      <w:pPr>
        <w:tabs>
          <w:tab w:val="left" w:pos="1480"/>
        </w:tabs>
        <w:ind w:left="1480" w:hanging="420"/>
      </w:pPr>
    </w:lvl>
    <w:lvl w:ilvl="2" w:tentative="1">
      <w:start w:val="1"/>
      <w:numFmt w:val="lowerRoman"/>
      <w:lvlText w:val="%3."/>
      <w:lvlJc w:val="right"/>
      <w:pPr>
        <w:tabs>
          <w:tab w:val="left" w:pos="1900"/>
        </w:tabs>
        <w:ind w:left="1900" w:hanging="420"/>
      </w:pPr>
    </w:lvl>
    <w:lvl w:ilvl="3" w:tentative="1">
      <w:start w:val="1"/>
      <w:numFmt w:val="decimal"/>
      <w:lvlText w:val="%4."/>
      <w:lvlJc w:val="left"/>
      <w:pPr>
        <w:tabs>
          <w:tab w:val="left" w:pos="2320"/>
        </w:tabs>
        <w:ind w:left="2320" w:hanging="420"/>
      </w:pPr>
    </w:lvl>
    <w:lvl w:ilvl="4" w:tentative="1">
      <w:start w:val="1"/>
      <w:numFmt w:val="lowerLetter"/>
      <w:lvlText w:val="%5)"/>
      <w:lvlJc w:val="left"/>
      <w:pPr>
        <w:tabs>
          <w:tab w:val="left" w:pos="2740"/>
        </w:tabs>
        <w:ind w:left="2740" w:hanging="420"/>
      </w:pPr>
    </w:lvl>
    <w:lvl w:ilvl="5" w:tentative="1">
      <w:start w:val="1"/>
      <w:numFmt w:val="lowerRoman"/>
      <w:lvlText w:val="%6."/>
      <w:lvlJc w:val="right"/>
      <w:pPr>
        <w:tabs>
          <w:tab w:val="left" w:pos="3160"/>
        </w:tabs>
        <w:ind w:left="3160" w:hanging="420"/>
      </w:pPr>
    </w:lvl>
    <w:lvl w:ilvl="6" w:tentative="1">
      <w:start w:val="1"/>
      <w:numFmt w:val="decimal"/>
      <w:lvlText w:val="%7."/>
      <w:lvlJc w:val="left"/>
      <w:pPr>
        <w:tabs>
          <w:tab w:val="left" w:pos="3580"/>
        </w:tabs>
        <w:ind w:left="3580" w:hanging="420"/>
      </w:pPr>
    </w:lvl>
    <w:lvl w:ilvl="7" w:tentative="1">
      <w:start w:val="1"/>
      <w:numFmt w:val="lowerLetter"/>
      <w:lvlText w:val="%8)"/>
      <w:lvlJc w:val="left"/>
      <w:pPr>
        <w:tabs>
          <w:tab w:val="left" w:pos="4000"/>
        </w:tabs>
        <w:ind w:left="4000" w:hanging="420"/>
      </w:pPr>
    </w:lvl>
    <w:lvl w:ilvl="8" w:tentative="1">
      <w:start w:val="1"/>
      <w:numFmt w:val="lowerRoman"/>
      <w:lvlText w:val="%9."/>
      <w:lvlJc w:val="right"/>
      <w:pPr>
        <w:tabs>
          <w:tab w:val="left" w:pos="4420"/>
        </w:tabs>
        <w:ind w:left="4420" w:hanging="420"/>
      </w:pPr>
    </w:lvl>
  </w:abstractNum>
  <w:abstractNum w:abstractNumId="4088753317">
    <w:nsid w:val="F3B56CA5"/>
    <w:multiLevelType w:val="singleLevel"/>
    <w:tmpl w:val="F3B56CA5"/>
    <w:lvl w:ilvl="0" w:tentative="1">
      <w:start w:val="1"/>
      <w:numFmt w:val="chineseCounting"/>
      <w:suff w:val="nothing"/>
      <w:lvlText w:val="%1、"/>
      <w:lvlJc w:val="left"/>
      <w:rPr>
        <w:rFonts w:hint="eastAsia"/>
      </w:rPr>
    </w:lvl>
  </w:abstractNum>
  <w:num w:numId="1">
    <w:abstractNumId w:val="4088753317"/>
  </w:num>
  <w:num w:numId="2">
    <w:abstractNumId w:val="16641634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27B61"/>
    <w:rsid w:val="00256989"/>
    <w:rsid w:val="00261A8F"/>
    <w:rsid w:val="00470AE8"/>
    <w:rsid w:val="00593505"/>
    <w:rsid w:val="006B1DAC"/>
    <w:rsid w:val="006D6834"/>
    <w:rsid w:val="00727B61"/>
    <w:rsid w:val="00752CCC"/>
    <w:rsid w:val="00A05591"/>
    <w:rsid w:val="00BB63FD"/>
    <w:rsid w:val="00F65B87"/>
    <w:rsid w:val="01414D69"/>
    <w:rsid w:val="122B742B"/>
    <w:rsid w:val="137463B0"/>
    <w:rsid w:val="24962E2B"/>
    <w:rsid w:val="27A36ECC"/>
    <w:rsid w:val="2DFB1AD3"/>
    <w:rsid w:val="2F404666"/>
    <w:rsid w:val="32CC39E2"/>
    <w:rsid w:val="3EFC51B5"/>
    <w:rsid w:val="415747BE"/>
    <w:rsid w:val="446908C9"/>
    <w:rsid w:val="47B86A37"/>
    <w:rsid w:val="49591216"/>
    <w:rsid w:val="68C17138"/>
    <w:rsid w:val="69A75943"/>
    <w:rsid w:val="6B260059"/>
    <w:rsid w:val="6F2F55F5"/>
    <w:rsid w:val="70EC3C93"/>
    <w:rsid w:val="7A4B1C24"/>
    <w:rsid w:val="7B4A4B5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qFormat/>
    <w:uiPriority w:val="0"/>
    <w:pPr>
      <w:widowControl/>
      <w:spacing w:beforeAutospacing="1" w:afterAutospacing="1"/>
      <w:jc w:val="left"/>
    </w:pPr>
    <w:rPr>
      <w:rFonts w:ascii="宋体" w:hAnsi="宋体" w:cs="宋体"/>
      <w:kern w:val="0"/>
      <w:sz w:val="24"/>
    </w:rPr>
  </w:style>
  <w:style w:type="character" w:styleId="5">
    <w:name w:val="page number"/>
    <w:basedOn w:val="4"/>
    <w:qFormat/>
    <w:uiPriority w:val="0"/>
    <w:rPr/>
  </w:style>
  <w:style w:type="character" w:styleId="6">
    <w:name w:val="Hyperlink"/>
    <w:qFormat/>
    <w:uiPriority w:val="0"/>
    <w:rPr>
      <w:color w:val="000000"/>
      <w:u w:val="none"/>
    </w:rPr>
  </w:style>
  <w:style w:type="paragraph" w:customStyle="1" w:styleId="8">
    <w:name w:val="_Style 5"/>
    <w:basedOn w:val="1"/>
    <w:next w:val="9"/>
    <w:qFormat/>
    <w:uiPriority w:val="0"/>
    <w:pPr>
      <w:ind w:firstLine="420" w:firstLineChars="200"/>
    </w:pPr>
    <w:rPr>
      <w:rFonts w:ascii="Calibri" w:hAnsi="Calibri" w:eastAsia="宋体" w:cs="Times New Roman"/>
    </w:rPr>
  </w:style>
  <w:style w:type="paragraph" w:customStyle="1" w:styleId="9">
    <w:name w:val="列出段落1"/>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1">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615</Words>
  <Characters>3506</Characters>
  <Lines>29</Lines>
  <Paragraphs>8</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2019-01-21T02:43:00Z</dcterms:created>
  <dc:creator>张佚名</dc:creator>
  <cp:lastModifiedBy>Administrator</cp:lastModifiedBy>
  <dcterms:modified xsi:type="dcterms:W3CDTF">2019-03-08T01:26:44Z</dcterms:modified>
  <dc:title>××部门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